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/>
      </w:pPr>
      <w:r>
        <w:rPr/>
        <w:drawing>
          <wp:inline distT="0" distB="0" distL="0" distR="0">
            <wp:extent cx="43815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caps/>
          <w:color w:val="00000A"/>
          <w:spacing w:val="30"/>
          <w:sz w:val="32"/>
          <w:szCs w:val="32"/>
          <w:lang w:bidi="en-US"/>
        </w:rPr>
      </w:pPr>
      <w:r>
        <w:rPr>
          <w:rFonts w:eastAsia="Times New Roman" w:cs="Arial" w:ascii="Arial" w:hAnsi="Arial"/>
          <w:b/>
          <w:caps/>
          <w:color w:val="00000A"/>
          <w:spacing w:val="30"/>
          <w:sz w:val="32"/>
          <w:szCs w:val="32"/>
          <w:lang w:bidi="en-US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lineRule="auto" w:line="240" w:before="240" w:after="0"/>
        <w:jc w:val="center"/>
        <w:rPr>
          <w:rFonts w:ascii="Arial" w:hAnsi="Arial" w:eastAsia="Times New Roman" w:cs="Arial"/>
          <w:b/>
          <w:b/>
          <w:caps/>
          <w:color w:val="00000A"/>
          <w:spacing w:val="30"/>
          <w:sz w:val="32"/>
          <w:szCs w:val="36"/>
          <w:lang w:bidi="en-US"/>
        </w:rPr>
      </w:pPr>
      <w:r>
        <w:rPr>
          <w:rFonts w:eastAsia="Times New Roman" w:cs="Arial" w:ascii="Arial" w:hAnsi="Arial"/>
          <w:b/>
          <w:caps/>
          <w:color w:val="00000A"/>
          <w:spacing w:val="30"/>
          <w:sz w:val="36"/>
          <w:szCs w:val="36"/>
          <w:lang w:bidi="en-US"/>
        </w:rPr>
        <w:t>Постановление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Times New Roman"/>
          <w:color w:val="00000A"/>
          <w:sz w:val="26"/>
          <w:szCs w:val="24"/>
          <w:lang w:bidi="en-US"/>
        </w:rPr>
      </w:pPr>
      <w:r>
        <w:rPr>
          <w:rFonts w:eastAsia="Times New Roman" w:cs="Times New Roman" w:ascii="Arial" w:hAnsi="Arial"/>
          <w:color w:val="00000A"/>
          <w:sz w:val="26"/>
          <w:szCs w:val="24"/>
          <w:lang w:bidi="en-US"/>
        </w:rPr>
      </w:r>
    </w:p>
    <w:p>
      <w:pPr>
        <w:pStyle w:val="Normal"/>
        <w:tabs>
          <w:tab w:val="center" w:pos="4820" w:leader="none"/>
          <w:tab w:val="right" w:pos="9638" w:leader="none"/>
        </w:tabs>
        <w:spacing w:lineRule="auto" w:line="240" w:before="0" w:after="0"/>
        <w:jc w:val="both"/>
        <w:rPr/>
      </w:pPr>
      <w:r>
        <w:rPr>
          <w:rFonts w:eastAsia="Times New Roman" w:cs="Times New Roman" w:ascii="Arial" w:hAnsi="Arial"/>
          <w:color w:val="00000A"/>
          <w:sz w:val="26"/>
          <w:szCs w:val="24"/>
          <w:lang w:bidi="en-US"/>
        </w:rPr>
        <w:t>___________ 2016 г.</w:t>
        <w:tab/>
        <w:t>с. Уват</w:t>
        <w:tab/>
        <w:t>№ Версия 2</w:t>
      </w:r>
      <w:r>
        <w:rPr>
          <w:rFonts w:eastAsia="Times New Roman" w:cs="Times New Roman" w:ascii="Arial" w:hAnsi="Arial"/>
          <w:color w:val="00000A"/>
          <w:sz w:val="26"/>
          <w:szCs w:val="24"/>
          <w:lang w:bidi="en-US"/>
        </w:rPr>
        <w:fldChar w:fldCharType="begin" w:fldLock="true"/>
      </w:r>
      <w:r>
        <w:instrText> DOCPROPERTY "№ документа"</w:instrText>
      </w:r>
      <w:r>
        <w:fldChar w:fldCharType="separate"/>
      </w:r>
      <w:r/>
      <w:r>
        <w:fldChar w:fldCharType="end"/>
      </w:r>
    </w:p>
    <w:p>
      <w:pPr>
        <w:pStyle w:val="Normal"/>
        <w:tabs>
          <w:tab w:val="center" w:pos="4820" w:leader="none"/>
          <w:tab w:val="right" w:pos="9638" w:leader="none"/>
        </w:tabs>
        <w:spacing w:lineRule="auto" w:line="240" w:before="0" w:after="200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spacing w:lineRule="auto" w:line="240" w:before="0" w:after="200"/>
        <w:ind w:right="-1" w:hanging="0"/>
        <w:contextualSpacing/>
        <w:jc w:val="center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Об утверждении порядка работы администрации Уватского муниципального района по организации осуществления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Уватского муниципального района</w:t>
      </w:r>
    </w:p>
    <w:p>
      <w:pPr>
        <w:pStyle w:val="Normal"/>
        <w:spacing w:lineRule="auto" w:line="240" w:before="0" w:after="200"/>
        <w:ind w:right="-1" w:hanging="0"/>
        <w:contextualSpacing/>
        <w:jc w:val="both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 xml:space="preserve">В соответствии со статьей 99 Федерального </w:t>
      </w:r>
      <w:r>
        <w:rPr>
          <w:rStyle w:val="Style17"/>
          <w:rFonts w:cs="Arial" w:ascii="Arial" w:hAnsi="Arial"/>
          <w:color w:val="000000"/>
          <w:sz w:val="26"/>
          <w:szCs w:val="26"/>
          <w:u w:val="none"/>
        </w:rPr>
        <w:t>закона</w:t>
      </w:r>
      <w:r>
        <w:rPr>
          <w:rFonts w:cs="Arial" w:ascii="Arial" w:hAnsi="Arial"/>
          <w:sz w:val="26"/>
          <w:szCs w:val="26"/>
        </w:rPr>
        <w:t xml:space="preserve"> от 05.04.2013  № 44-ФЗ "О контрактной системе в сфере закупок товаров, работ, услуг для обеспечения государственных и муниципальных нужд", руководствуясь </w:t>
      </w:r>
      <w:r>
        <w:rPr>
          <w:rStyle w:val="Style17"/>
          <w:rFonts w:cs="Arial" w:ascii="Arial" w:hAnsi="Arial"/>
          <w:color w:val="000000"/>
          <w:sz w:val="26"/>
          <w:szCs w:val="26"/>
          <w:u w:val="none"/>
        </w:rPr>
        <w:t>статьей 31</w:t>
      </w:r>
      <w:r>
        <w:rPr>
          <w:rFonts w:cs="Arial" w:ascii="Arial" w:hAnsi="Arial"/>
          <w:color w:val="000000"/>
          <w:sz w:val="26"/>
          <w:szCs w:val="26"/>
          <w:u w:val="none"/>
        </w:rPr>
        <w:t xml:space="preserve"> </w:t>
      </w:r>
      <w:r>
        <w:rPr>
          <w:rFonts w:cs="Arial" w:ascii="Arial" w:hAnsi="Arial"/>
          <w:sz w:val="26"/>
          <w:szCs w:val="26"/>
        </w:rPr>
        <w:t>Устава Уватского муниципального района Тюменской области: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>1.Создать отраслевой (функциональный) орган, уполномоченный на осуществление контроля в сфере закупок товаров, работ, услуг для обеспечения муниципальных нужд Уватского муниципального района.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 xml:space="preserve">2. Утвердить </w:t>
      </w:r>
      <w:r>
        <w:rPr>
          <w:rStyle w:val="Style17"/>
          <w:rFonts w:cs="Arial" w:ascii="Arial" w:hAnsi="Arial"/>
          <w:color w:val="000000"/>
          <w:sz w:val="26"/>
          <w:szCs w:val="26"/>
          <w:u w:val="none"/>
        </w:rPr>
        <w:t>состав</w:t>
      </w:r>
      <w:r>
        <w:rPr>
          <w:rFonts w:cs="Arial" w:ascii="Arial" w:hAnsi="Arial"/>
          <w:color w:val="000000"/>
          <w:sz w:val="26"/>
          <w:szCs w:val="26"/>
          <w:u w:val="none"/>
        </w:rPr>
        <w:t xml:space="preserve"> </w:t>
      </w:r>
      <w:r>
        <w:rPr>
          <w:rFonts w:cs="Arial" w:ascii="Arial" w:hAnsi="Arial"/>
          <w:sz w:val="26"/>
          <w:szCs w:val="26"/>
        </w:rPr>
        <w:t>отраслевого (функционального) органа, уполномоченного на осуществление контроля в сфере закупок товаров, работ, услуг для обеспечения муниципальных нужд Уватского муниципального района, согласно приложению № 1 к настоящему постановлению.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>3. Утвердить Порядок работы администрации Уватского муниципального района по организации осуществления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Уватского муниципального района согласно приложению № 2 к настоящему постановлению.</w:t>
      </w:r>
    </w:p>
    <w:p>
      <w:pPr>
        <w:pStyle w:val="Normal"/>
        <w:spacing w:before="0" w:after="0"/>
        <w:ind w:firstLine="567"/>
        <w:rPr>
          <w:rFonts w:ascii="Arial" w:hAnsi="Arial" w:eastAsia="Calibri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4. </w:t>
      </w:r>
      <w:r>
        <w:rPr>
          <w:rFonts w:eastAsia="Calibri" w:cs="Arial" w:ascii="Arial" w:hAnsi="Arial"/>
          <w:sz w:val="26"/>
          <w:szCs w:val="26"/>
        </w:rPr>
        <w:t>Признать утратившими силу:</w:t>
      </w:r>
    </w:p>
    <w:p>
      <w:pPr>
        <w:pStyle w:val="Normal"/>
        <w:spacing w:lineRule="auto" w:line="240" w:before="0" w:after="200"/>
        <w:ind w:right="-1" w:firstLine="567"/>
        <w:contextualSpacing/>
        <w:jc w:val="both"/>
        <w:rPr/>
      </w:pPr>
      <w:r>
        <w:rPr>
          <w:rFonts w:eastAsia="Calibri" w:cs="Arial" w:ascii="Arial" w:hAnsi="Arial"/>
          <w:sz w:val="26"/>
          <w:szCs w:val="26"/>
        </w:rPr>
        <w:t xml:space="preserve">а) постановление </w:t>
      </w:r>
      <w:r>
        <w:rPr>
          <w:rFonts w:cs="Arial" w:ascii="Arial" w:hAnsi="Arial"/>
          <w:sz w:val="26"/>
          <w:szCs w:val="26"/>
        </w:rPr>
        <w:t xml:space="preserve">администрации </w:t>
      </w:r>
      <w:r>
        <w:rPr>
          <w:rFonts w:eastAsia="Calibri" w:cs="Arial" w:ascii="Arial" w:hAnsi="Arial"/>
          <w:sz w:val="26"/>
          <w:szCs w:val="26"/>
        </w:rPr>
        <w:t>Уватс</w:t>
      </w:r>
      <w:r>
        <w:rPr>
          <w:rFonts w:cs="Arial" w:ascii="Arial" w:hAnsi="Arial"/>
          <w:sz w:val="26"/>
          <w:szCs w:val="26"/>
        </w:rPr>
        <w:t>кого муниципального района от 11</w:t>
      </w:r>
      <w:r>
        <w:rPr>
          <w:rFonts w:eastAsia="Calibri" w:cs="Arial" w:ascii="Arial" w:hAnsi="Arial"/>
          <w:sz w:val="26"/>
          <w:szCs w:val="26"/>
        </w:rPr>
        <w:t>.</w:t>
      </w:r>
      <w:r>
        <w:rPr>
          <w:rFonts w:cs="Arial" w:ascii="Arial" w:hAnsi="Arial"/>
          <w:sz w:val="26"/>
          <w:szCs w:val="26"/>
        </w:rPr>
        <w:t>12.2014 № 232</w:t>
      </w:r>
      <w:r>
        <w:rPr>
          <w:rFonts w:eastAsia="Calibri" w:cs="Arial" w:ascii="Arial" w:hAnsi="Arial"/>
          <w:sz w:val="26"/>
          <w:szCs w:val="26"/>
        </w:rPr>
        <w:t xml:space="preserve"> «Об утверждении порядка работы администрации Уватского муниципального района по организации осуществления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Уватского муниципального района»;</w:t>
      </w:r>
    </w:p>
    <w:p>
      <w:pPr>
        <w:pStyle w:val="Normal"/>
        <w:widowControl w:val="false"/>
        <w:spacing w:before="0" w:after="0"/>
        <w:ind w:firstLine="540"/>
        <w:rPr>
          <w:rFonts w:ascii="Arial" w:hAnsi="Arial" w:eastAsia="Calibri" w:cs="Arial"/>
          <w:color w:val="000000"/>
          <w:sz w:val="26"/>
          <w:szCs w:val="26"/>
          <w:lang w:bidi="en-US"/>
        </w:rPr>
      </w:pPr>
      <w:r>
        <w:rPr>
          <w:rFonts w:eastAsia="Calibri" w:cs="Arial" w:ascii="Arial" w:hAnsi="Arial"/>
          <w:sz w:val="26"/>
          <w:szCs w:val="26"/>
        </w:rPr>
        <w:t xml:space="preserve">5. </w:t>
      </w:r>
      <w:r>
        <w:rPr>
          <w:rFonts w:eastAsia="Calibri" w:cs="Arial" w:ascii="Arial" w:hAnsi="Arial"/>
          <w:color w:val="000000"/>
          <w:sz w:val="26"/>
          <w:szCs w:val="26"/>
          <w:lang w:bidi="en-US"/>
        </w:rPr>
        <w:t>Организационному отделу администрации Уватского муниципального района (Герасимова Е.Ю.) настоящее постановление: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eastAsia="Calibri" w:cs="Arial"/>
          <w:color w:val="000000"/>
          <w:sz w:val="26"/>
          <w:szCs w:val="26"/>
          <w:lang w:bidi="en-US"/>
        </w:rPr>
      </w:pPr>
      <w:r>
        <w:rPr>
          <w:rFonts w:eastAsia="Calibri" w:cs="Arial" w:ascii="Arial" w:hAnsi="Arial"/>
          <w:color w:val="000000"/>
          <w:sz w:val="26"/>
          <w:szCs w:val="26"/>
          <w:lang w:bidi="en-US"/>
        </w:rPr>
        <w:t>а) обнародовать путем его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eastAsia="Calibri" w:cs="Arial"/>
          <w:color w:val="000000"/>
          <w:sz w:val="26"/>
          <w:szCs w:val="26"/>
          <w:lang w:bidi="en-US"/>
        </w:rPr>
      </w:pPr>
      <w:r>
        <w:rPr>
          <w:rFonts w:eastAsia="Calibri" w:cs="Arial" w:ascii="Arial" w:hAnsi="Arial"/>
          <w:color w:val="000000"/>
          <w:sz w:val="26"/>
          <w:szCs w:val="26"/>
          <w:lang w:bidi="en-US"/>
        </w:rPr>
        <w:t>б) разместить на сайте Уватского муниципального района в сети «Интернет».</w:t>
      </w:r>
    </w:p>
    <w:p>
      <w:pPr>
        <w:pStyle w:val="Normal"/>
        <w:spacing w:lineRule="auto" w:line="240" w:before="0" w:after="0"/>
        <w:ind w:firstLine="540"/>
        <w:jc w:val="both"/>
        <w:rPr/>
      </w:pPr>
      <w:r>
        <w:rPr>
          <w:rFonts w:eastAsia="Times New Roman" w:cs="Arial" w:ascii="Arial" w:hAnsi="Arial"/>
          <w:color w:val="00000A"/>
          <w:sz w:val="26"/>
          <w:szCs w:val="26"/>
          <w:lang w:bidi="en-US"/>
        </w:rPr>
        <w:t>6. Настоящее постановление вступает в силу со дня его обнародования.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color w:val="00000A"/>
          <w:sz w:val="26"/>
          <w:szCs w:val="26"/>
          <w:lang w:eastAsia="ru-RU"/>
        </w:rPr>
      </w:pPr>
      <w:r>
        <w:rPr>
          <w:rFonts w:eastAsia="Times New Roman" w:cs="Arial" w:ascii="Arial" w:hAnsi="Arial"/>
          <w:color w:val="00000A"/>
          <w:sz w:val="26"/>
          <w:szCs w:val="26"/>
          <w:lang w:bidi="en-US"/>
        </w:rPr>
        <w:t>7. Контроль за исполнением настоящего постановления возложить на заместителя главы администрации Уватского муниципального района Лакиза Т.Г.</w:t>
      </w:r>
    </w:p>
    <w:p>
      <w:pPr>
        <w:pStyle w:val="Normal"/>
        <w:widowControl w:val="false"/>
        <w:spacing w:lineRule="auto" w:line="240" w:before="0" w:after="0"/>
        <w:ind w:left="567" w:hanging="0"/>
        <w:jc w:val="both"/>
        <w:rPr>
          <w:rFonts w:ascii="Arial" w:hAnsi="Arial" w:eastAsia="Calibri" w:cs="Arial"/>
          <w:sz w:val="26"/>
          <w:szCs w:val="26"/>
        </w:rPr>
      </w:pPr>
      <w:r>
        <w:rPr>
          <w:rFonts w:eastAsia="Calibri" w:cs="Arial" w:ascii="Arial" w:hAnsi="Arial"/>
          <w:sz w:val="26"/>
          <w:szCs w:val="26"/>
        </w:rPr>
      </w:r>
    </w:p>
    <w:p>
      <w:pPr>
        <w:pStyle w:val="Normal"/>
        <w:spacing w:lineRule="auto" w:line="240" w:before="0" w:after="200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spacing w:lineRule="auto" w:line="240" w:before="0" w:after="200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Первый заместитель главы</w:t>
        <w:tab/>
        <w:t xml:space="preserve">                                                           В.И. Елизаров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right"/>
        <w:outlineLvl w:val="0"/>
        <w:rPr/>
      </w:pPr>
      <w:r>
        <w:rPr>
          <w:rFonts w:cs="Arial" w:ascii="Arial" w:hAnsi="Arial"/>
          <w:sz w:val="26"/>
          <w:szCs w:val="26"/>
        </w:rPr>
        <w:t>Приложение № 1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right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к постановлению администрации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right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Уватского муниципального района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right"/>
        <w:outlineLvl w:val="0"/>
        <w:rPr>
          <w:rFonts w:ascii="Arial" w:hAnsi="Arial" w:cs="Arial"/>
          <w:sz w:val="26"/>
          <w:szCs w:val="26"/>
          <w:lang w:val="en-US"/>
        </w:rPr>
      </w:pPr>
      <w:r>
        <w:rPr>
          <w:rFonts w:cs="Arial" w:ascii="Arial" w:hAnsi="Arial"/>
          <w:sz w:val="26"/>
          <w:szCs w:val="26"/>
        </w:rPr>
        <w:t>от __________№ПРОЕКТ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Состав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отраслевого (функционального) органа, уполномоченного на осуществление контроля в сфере закупок товаров, работ, услуг для обеспечения муниципальных нужд Уватского муниципального района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tbl>
      <w:tblPr>
        <w:tblStyle w:val="af2"/>
        <w:tblW w:w="8927" w:type="dxa"/>
        <w:jc w:val="left"/>
        <w:tblInd w:w="0" w:type="dxa"/>
        <w:tblCellMar>
          <w:top w:w="0" w:type="dxa"/>
          <w:left w:w="178" w:type="dxa"/>
          <w:bottom w:w="0" w:type="dxa"/>
          <w:right w:w="108" w:type="dxa"/>
        </w:tblCellMar>
        <w:tblLook w:val="04a0"/>
      </w:tblPr>
      <w:tblGrid>
        <w:gridCol w:w="2153"/>
        <w:gridCol w:w="6773"/>
      </w:tblGrid>
      <w:tr>
        <w:trPr>
          <w:trHeight w:val="972" w:hRule="atLeast"/>
        </w:trPr>
        <w:tc>
          <w:tcPr>
            <w:tcW w:w="215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jc w:val="both"/>
              <w:outlineLvl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Руководитель: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jc w:val="both"/>
              <w:outlineLvl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Лакиза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jc w:val="both"/>
              <w:outlineLvl w:val="0"/>
              <w:rPr>
                <w:rFonts w:ascii="Arial" w:hAnsi="Arial" w:cs="Arial"/>
                <w:sz w:val="26"/>
                <w:szCs w:val="26"/>
                <w:lang w:val="en-US"/>
              </w:rPr>
            </w:pPr>
            <w:r>
              <w:rPr>
                <w:rFonts w:cs="Arial" w:ascii="Arial" w:hAnsi="Arial"/>
                <w:sz w:val="26"/>
                <w:szCs w:val="26"/>
              </w:rPr>
              <w:t>Татьяна Геннадьевна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jc w:val="both"/>
              <w:outlineLvl w:val="0"/>
              <w:rPr>
                <w:rFonts w:ascii="Arial" w:hAnsi="Arial" w:cs="Arial"/>
                <w:sz w:val="26"/>
                <w:szCs w:val="26"/>
                <w:lang w:val="en-US"/>
              </w:rPr>
            </w:pPr>
            <w:r>
              <w:rPr>
                <w:rFonts w:cs="Arial" w:ascii="Arial" w:hAnsi="Arial"/>
                <w:sz w:val="26"/>
                <w:szCs w:val="26"/>
                <w:lang w:val="en-US"/>
              </w:rPr>
            </w:r>
          </w:p>
        </w:tc>
        <w:tc>
          <w:tcPr>
            <w:tcW w:w="67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jc w:val="right"/>
              <w:outlineLvl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jc w:val="right"/>
              <w:outlineLvl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Заместитель Главы администрации Уватского муниципального района</w:t>
            </w:r>
          </w:p>
        </w:tc>
      </w:tr>
      <w:tr>
        <w:trPr>
          <w:trHeight w:val="300" w:hRule="atLeast"/>
        </w:trPr>
        <w:tc>
          <w:tcPr>
            <w:tcW w:w="215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jc w:val="both"/>
              <w:outlineLvl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Члены:</w:t>
            </w:r>
          </w:p>
        </w:tc>
        <w:tc>
          <w:tcPr>
            <w:tcW w:w="67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jc w:val="both"/>
              <w:outlineLvl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</w:r>
          </w:p>
        </w:tc>
      </w:tr>
      <w:tr>
        <w:trPr>
          <w:trHeight w:val="972" w:hRule="atLeast"/>
        </w:trPr>
        <w:tc>
          <w:tcPr>
            <w:tcW w:w="215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jc w:val="both"/>
              <w:outlineLvl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 xml:space="preserve">Мухетдинова 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jc w:val="both"/>
              <w:outlineLvl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Лениза Нурулловна</w:t>
            </w:r>
          </w:p>
        </w:tc>
        <w:tc>
          <w:tcPr>
            <w:tcW w:w="67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jc w:val="right"/>
              <w:outlineLvl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Специалист сектора муниципального заказа и договорных отношений юридического отдела администрации Уватского муниципального района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jc w:val="right"/>
              <w:outlineLvl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</w:r>
          </w:p>
        </w:tc>
      </w:tr>
      <w:tr>
        <w:trPr>
          <w:trHeight w:val="625" w:hRule="atLeast"/>
        </w:trPr>
        <w:tc>
          <w:tcPr>
            <w:tcW w:w="215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jc w:val="both"/>
              <w:outlineLvl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 xml:space="preserve">Микрюкова 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jc w:val="both"/>
              <w:outlineLvl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Елена Владимировна</w:t>
            </w:r>
          </w:p>
        </w:tc>
        <w:tc>
          <w:tcPr>
            <w:tcW w:w="67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jc w:val="right"/>
              <w:outlineLvl w:val="0"/>
              <w:rPr>
                <w:rFonts w:ascii="Arial" w:hAnsi="Arial" w:cs="Arial"/>
                <w:sz w:val="26"/>
                <w:szCs w:val="26"/>
                <w:lang w:val="en-US"/>
              </w:rPr>
            </w:pPr>
            <w:r>
              <w:rPr>
                <w:rFonts w:cs="Arial" w:ascii="Arial" w:hAnsi="Arial"/>
                <w:sz w:val="26"/>
                <w:szCs w:val="26"/>
              </w:rPr>
              <w:t>Главный специалист сектора имущественных отношений юридического отдела администрации Уватского муниципального района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jc w:val="right"/>
              <w:outlineLvl w:val="0"/>
              <w:rPr>
                <w:rFonts w:ascii="Arial" w:hAnsi="Arial" w:cs="Arial"/>
                <w:sz w:val="26"/>
                <w:szCs w:val="26"/>
                <w:lang w:val="en-US"/>
              </w:rPr>
            </w:pPr>
            <w:r>
              <w:rPr>
                <w:rFonts w:cs="Arial" w:ascii="Arial" w:hAnsi="Arial"/>
                <w:sz w:val="26"/>
                <w:szCs w:val="26"/>
                <w:lang w:val="en-US"/>
              </w:rPr>
            </w:r>
          </w:p>
        </w:tc>
      </w:tr>
      <w:tr>
        <w:trPr>
          <w:trHeight w:val="648" w:hRule="atLeast"/>
        </w:trPr>
        <w:tc>
          <w:tcPr>
            <w:tcW w:w="215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jc w:val="both"/>
              <w:outlineLvl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Гореванова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jc w:val="both"/>
              <w:outlineLvl w:val="0"/>
              <w:rPr>
                <w:rFonts w:ascii="Arial" w:hAnsi="Arial" w:cs="Arial"/>
                <w:sz w:val="26"/>
                <w:szCs w:val="26"/>
                <w:lang w:val="en-US"/>
              </w:rPr>
            </w:pPr>
            <w:r>
              <w:rPr>
                <w:rFonts w:cs="Arial" w:ascii="Arial" w:hAnsi="Arial"/>
                <w:sz w:val="26"/>
                <w:szCs w:val="26"/>
              </w:rPr>
              <w:t>Ольга Николаевна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jc w:val="both"/>
              <w:outlineLvl w:val="0"/>
              <w:rPr>
                <w:rFonts w:ascii="Arial" w:hAnsi="Arial" w:cs="Arial"/>
                <w:sz w:val="26"/>
                <w:szCs w:val="26"/>
                <w:lang w:val="en-US"/>
              </w:rPr>
            </w:pPr>
            <w:r>
              <w:rPr>
                <w:rFonts w:cs="Arial" w:ascii="Arial" w:hAnsi="Arial"/>
                <w:sz w:val="26"/>
                <w:szCs w:val="26"/>
                <w:lang w:val="en-US"/>
              </w:rPr>
            </w:r>
          </w:p>
        </w:tc>
        <w:tc>
          <w:tcPr>
            <w:tcW w:w="67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jc w:val="right"/>
              <w:outlineLvl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Ведущий специалист отдела финансов администрации Уватского муниципального района</w:t>
            </w:r>
          </w:p>
        </w:tc>
      </w:tr>
      <w:tr>
        <w:trPr>
          <w:trHeight w:val="648" w:hRule="atLeast"/>
        </w:trPr>
        <w:tc>
          <w:tcPr>
            <w:tcW w:w="215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jc w:val="both"/>
              <w:outlineLvl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Ильина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jc w:val="both"/>
              <w:outlineLvl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Валентина Юрьевна</w:t>
            </w:r>
          </w:p>
        </w:tc>
        <w:tc>
          <w:tcPr>
            <w:tcW w:w="67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jc w:val="right"/>
              <w:outlineLvl w:val="0"/>
              <w:rPr>
                <w:rFonts w:ascii="Arial" w:hAnsi="Arial" w:cs="Arial"/>
                <w:sz w:val="26"/>
                <w:szCs w:val="26"/>
                <w:lang w:val="en-US"/>
              </w:rPr>
            </w:pPr>
            <w:r>
              <w:rPr>
                <w:rFonts w:cs="Arial" w:ascii="Arial" w:hAnsi="Arial"/>
                <w:sz w:val="26"/>
                <w:szCs w:val="26"/>
              </w:rPr>
              <w:t>Ведущий специалист отдела бухгалтерского учета и отчетности администрации Уватского муниципального района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jc w:val="right"/>
              <w:outlineLvl w:val="0"/>
              <w:rPr>
                <w:rFonts w:ascii="Arial" w:hAnsi="Arial" w:cs="Arial"/>
                <w:sz w:val="26"/>
                <w:szCs w:val="26"/>
                <w:lang w:val="en-US"/>
              </w:rPr>
            </w:pPr>
            <w:r>
              <w:rPr>
                <w:rFonts w:cs="Arial" w:ascii="Arial" w:hAnsi="Arial"/>
                <w:sz w:val="26"/>
                <w:szCs w:val="26"/>
                <w:lang w:val="en-US"/>
              </w:rPr>
            </w:r>
          </w:p>
        </w:tc>
      </w:tr>
      <w:tr>
        <w:trPr>
          <w:trHeight w:val="625" w:hRule="atLeast"/>
        </w:trPr>
        <w:tc>
          <w:tcPr>
            <w:tcW w:w="215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jc w:val="both"/>
              <w:outlineLvl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Пайкова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jc w:val="both"/>
              <w:outlineLvl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Надежда Васильевна</w:t>
            </w:r>
          </w:p>
        </w:tc>
        <w:tc>
          <w:tcPr>
            <w:tcW w:w="677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jc w:val="right"/>
              <w:outlineLvl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Главный специалист отдела финансов администрации Уватского муниципального района</w:t>
            </w:r>
          </w:p>
        </w:tc>
      </w:tr>
    </w:tbl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  <w:lang w:val="en-US"/>
        </w:rPr>
      </w:pPr>
      <w:r>
        <w:rPr>
          <w:rFonts w:cs="Arial" w:ascii="Arial" w:hAnsi="Arial"/>
          <w:sz w:val="26"/>
          <w:szCs w:val="26"/>
          <w:lang w:val="en-US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  <w:lang w:val="en-US"/>
        </w:rPr>
      </w:pPr>
      <w:r>
        <w:rPr>
          <w:rFonts w:cs="Arial" w:ascii="Arial" w:hAnsi="Arial"/>
          <w:sz w:val="26"/>
          <w:szCs w:val="26"/>
          <w:lang w:val="en-US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  <w:lang w:val="en-US"/>
        </w:rPr>
      </w:pPr>
      <w:r>
        <w:rPr>
          <w:rFonts w:cs="Arial" w:ascii="Arial" w:hAnsi="Arial"/>
          <w:sz w:val="26"/>
          <w:szCs w:val="26"/>
          <w:lang w:val="en-US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  <w:lang w:val="en-US"/>
        </w:rPr>
      </w:pPr>
      <w:r>
        <w:rPr>
          <w:rFonts w:cs="Arial" w:ascii="Arial" w:hAnsi="Arial"/>
          <w:sz w:val="26"/>
          <w:szCs w:val="26"/>
          <w:lang w:val="en-US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  <w:lang w:val="en-US"/>
        </w:rPr>
      </w:pPr>
      <w:r>
        <w:rPr>
          <w:rFonts w:cs="Arial" w:ascii="Arial" w:hAnsi="Arial"/>
          <w:sz w:val="26"/>
          <w:szCs w:val="26"/>
          <w:lang w:val="en-US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  <w:lang w:val="en-US"/>
        </w:rPr>
      </w:pPr>
      <w:r>
        <w:rPr>
          <w:rFonts w:cs="Arial" w:ascii="Arial" w:hAnsi="Arial"/>
          <w:sz w:val="26"/>
          <w:szCs w:val="26"/>
          <w:lang w:val="en-US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  <w:lang w:val="en-US"/>
        </w:rPr>
      </w:pPr>
      <w:r>
        <w:rPr>
          <w:rFonts w:cs="Arial" w:ascii="Arial" w:hAnsi="Arial"/>
          <w:sz w:val="26"/>
          <w:szCs w:val="26"/>
          <w:lang w:val="en-US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  <w:lang w:val="en-US"/>
        </w:rPr>
      </w:pPr>
      <w:r>
        <w:rPr>
          <w:rFonts w:cs="Arial" w:ascii="Arial" w:hAnsi="Arial"/>
          <w:sz w:val="26"/>
          <w:szCs w:val="26"/>
          <w:lang w:val="en-US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  <w:lang w:val="en-US"/>
        </w:rPr>
      </w:pPr>
      <w:r>
        <w:rPr>
          <w:rFonts w:cs="Arial" w:ascii="Arial" w:hAnsi="Arial"/>
          <w:sz w:val="26"/>
          <w:szCs w:val="26"/>
          <w:lang w:val="en-US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  <w:lang w:val="en-US"/>
        </w:rPr>
      </w:pPr>
      <w:r>
        <w:rPr>
          <w:rFonts w:cs="Arial" w:ascii="Arial" w:hAnsi="Arial"/>
          <w:sz w:val="26"/>
          <w:szCs w:val="26"/>
          <w:lang w:val="en-US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" w:hAnsi="Arial" w:cs="Arial"/>
          <w:sz w:val="26"/>
          <w:szCs w:val="26"/>
          <w:lang w:val="en-US"/>
        </w:rPr>
      </w:pPr>
      <w:r>
        <w:rPr>
          <w:rFonts w:cs="Arial" w:ascii="Arial" w:hAnsi="Arial"/>
          <w:sz w:val="26"/>
          <w:szCs w:val="26"/>
          <w:lang w:val="en-US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right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Приложение № 2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right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к постановлению администрации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right"/>
        <w:outlineLvl w:val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Уватского муниципального района</w:t>
      </w:r>
    </w:p>
    <w:p>
      <w:pPr>
        <w:pStyle w:val="Normal"/>
        <w:widowControl w:val="false"/>
        <w:spacing w:lineRule="auto" w:line="240" w:before="0" w:after="0"/>
        <w:jc w:val="right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от _____________ № ПРОЕКТ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sz w:val="26"/>
          <w:szCs w:val="26"/>
        </w:rPr>
      </w:pPr>
      <w:bookmarkStart w:id="0" w:name="Par30"/>
      <w:bookmarkEnd w:id="0"/>
      <w:r>
        <w:rPr>
          <w:rFonts w:cs="Arial" w:ascii="Arial" w:hAnsi="Arial"/>
          <w:sz w:val="26"/>
          <w:szCs w:val="26"/>
        </w:rPr>
        <w:t>Порядок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работы администрации Уватского муниципального района по организации осуществления контроля за соблюдением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муниципальных нужд Уватского муниципального района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center"/>
        <w:outlineLvl w:val="1"/>
        <w:rPr>
          <w:rFonts w:ascii="Arial" w:hAnsi="Arial" w:cs="Arial"/>
          <w:sz w:val="26"/>
          <w:szCs w:val="26"/>
        </w:rPr>
      </w:pPr>
      <w:bookmarkStart w:id="1" w:name="Par37"/>
      <w:bookmarkEnd w:id="1"/>
      <w:r>
        <w:rPr>
          <w:rFonts w:cs="Arial" w:ascii="Arial" w:hAnsi="Arial"/>
          <w:sz w:val="26"/>
          <w:szCs w:val="26"/>
        </w:rPr>
        <w:t>1. Общие положения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 xml:space="preserve">1.1. Настоящий Порядок разработан в соответствии с Федеральным </w:t>
      </w:r>
      <w:r>
        <w:rPr>
          <w:rStyle w:val="Style17"/>
          <w:rFonts w:cs="Arial" w:ascii="Arial" w:hAnsi="Arial"/>
          <w:color w:val="000000"/>
          <w:sz w:val="26"/>
          <w:szCs w:val="26"/>
          <w:u w:val="none"/>
        </w:rPr>
        <w:t>законом</w:t>
      </w:r>
      <w:r>
        <w:rPr>
          <w:rFonts w:cs="Arial" w:ascii="Arial" w:hAnsi="Arial"/>
          <w:color w:val="000000"/>
          <w:sz w:val="26"/>
          <w:szCs w:val="26"/>
          <w:u w:val="none"/>
        </w:rPr>
        <w:t xml:space="preserve"> </w:t>
      </w:r>
      <w:r>
        <w:rPr>
          <w:rFonts w:cs="Arial" w:ascii="Arial" w:hAnsi="Arial"/>
          <w:sz w:val="26"/>
          <w:szCs w:val="26"/>
        </w:rPr>
        <w:t>от 05.04.2013 № 44-ФЗ "О контрактной системе в сфере закупок товаров, работ, услуг для обеспечения государственных и муниципальных нужд" (далее - Федеральный закон).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1.2. Настоящий Порядок определяет организацию работы администрации Уватского муниципального района по осуществлению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Уватского муниципального района (далее - Порядок).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 xml:space="preserve">1.3. Основные понятия в настоящем Порядке используются в тех же значениях, что и в Федеральном </w:t>
      </w:r>
      <w:r>
        <w:rPr>
          <w:rStyle w:val="Style17"/>
          <w:rFonts w:cs="Arial" w:ascii="Arial" w:hAnsi="Arial"/>
          <w:color w:val="000000"/>
          <w:sz w:val="26"/>
          <w:szCs w:val="26"/>
          <w:u w:val="none"/>
        </w:rPr>
        <w:t>законе</w:t>
      </w:r>
      <w:r>
        <w:rPr>
          <w:rFonts w:cs="Arial" w:ascii="Arial" w:hAnsi="Arial"/>
          <w:color w:val="000000"/>
          <w:sz w:val="26"/>
          <w:szCs w:val="26"/>
          <w:u w:val="none"/>
        </w:rPr>
        <w:t>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1.4. Контроль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на территории Уватского муниципального района осуществляется отраслевым (функциональным) органом, уполномоченным на осуществление контроля в сфере закупок товаров, работ, услуг для обеспечения муниципальных нужд Уватского муниципального района (далее - контрольный орган), путем проведения плановых и внеплановых проверок.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 xml:space="preserve">1.5. Плановые и внеплановые проверки проводятся в целях предупреждения и выявления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(далее - законодательство в сфере закупок) заказчиками, контрактными службами, контрактными управляющими, конкурсной, аукционной, котировочной комиссий, комиссиями по рассмотрению заявок на участие в запросе предложений и окончательных предложений (далее - комиссия по осуществлению закупок) и их членами, уполномоченными учреждениями при осуществлении закупок для обеспечения муниципальных нужд, специализированными организациями, выполняющими в соответствии с Федеральным </w:t>
      </w:r>
      <w:r>
        <w:rPr>
          <w:rStyle w:val="Style17"/>
          <w:rFonts w:cs="Arial" w:ascii="Arial" w:hAnsi="Arial"/>
          <w:color w:val="000000"/>
          <w:sz w:val="26"/>
          <w:szCs w:val="26"/>
          <w:u w:val="none"/>
        </w:rPr>
        <w:t>законом</w:t>
      </w:r>
      <w:r>
        <w:rPr>
          <w:rFonts w:cs="Arial" w:ascii="Arial" w:hAnsi="Arial"/>
          <w:color w:val="000000"/>
          <w:sz w:val="26"/>
          <w:szCs w:val="26"/>
          <w:u w:val="none"/>
        </w:rPr>
        <w:t xml:space="preserve"> </w:t>
      </w:r>
      <w:r>
        <w:rPr>
          <w:rFonts w:cs="Arial" w:ascii="Arial" w:hAnsi="Arial"/>
          <w:sz w:val="26"/>
          <w:szCs w:val="26"/>
        </w:rPr>
        <w:t>отдельные полномочия в рамках осуществления закупок для обеспечения муниципальных нужд (далее - субъекты контроля).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 xml:space="preserve">1.6. </w:t>
      </w:r>
      <w:r>
        <w:rPr>
          <w:rStyle w:val="Style17"/>
          <w:rFonts w:cs="Arial" w:ascii="Arial" w:hAnsi="Arial"/>
          <w:color w:val="000000"/>
          <w:sz w:val="26"/>
          <w:szCs w:val="26"/>
          <w:u w:val="none"/>
        </w:rPr>
        <w:t>Блок-схема</w:t>
      </w:r>
      <w:r>
        <w:rPr>
          <w:rFonts w:cs="Arial" w:ascii="Arial" w:hAnsi="Arial"/>
          <w:sz w:val="26"/>
          <w:szCs w:val="26"/>
        </w:rPr>
        <w:t xml:space="preserve"> осуществления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Уватского муниципального района приведена в приложении к настоящему Порядку.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center"/>
        <w:outlineLvl w:val="1"/>
        <w:rPr>
          <w:rFonts w:ascii="Arial" w:hAnsi="Arial" w:cs="Arial"/>
          <w:sz w:val="26"/>
          <w:szCs w:val="26"/>
        </w:rPr>
      </w:pPr>
      <w:bookmarkStart w:id="2" w:name="Par46"/>
      <w:bookmarkEnd w:id="2"/>
      <w:r>
        <w:rPr>
          <w:rFonts w:cs="Arial" w:ascii="Arial" w:hAnsi="Arial"/>
          <w:sz w:val="26"/>
          <w:szCs w:val="26"/>
        </w:rPr>
        <w:t>2. Организация и проведение плановых проверок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2.1. Проведение плановой проверки осуществляется инспекцией, включающей в себя должностных лиц контрольного органа (далее - инспекция).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2.2. Предметом проведения плановой проверки является соблюдение субъектом контроля при осуществлении закупок законодательства в сфере закупок. При этом в случае, если субъектом контроля является заказчик и (или) уполномоченное учреждение, проверке подлежит также соблюдение законодательства в сфере закупок теми субъектами контроля, которые выполняли функции по осуществлению закупок, проверяемых в рамках данной плановой проверки контрольным органом, для указанного заказчика и (или) уполномоченного учреждения.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2.3. Плановые проверки осуществляются на основании плана проверок, утверждаемого распоряжением администрации Уватского муниципального района в срок не позднее трех рабочих дней до даты наступления планового периода.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Формирование плана проверок осуществляется с учетом перечня объектов внутреннего муниципального финансового контроля, утверждаемого в порядке, предусмотренном муниципальным правовым актом администрации Уватского муниципального района, в целях обеспечения комплексного подхода при проведении контрольных мероприятий.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При составлении плана проверок должен быть предусмотрен резерв времени на проведение внеплановых проверок и анализа результатов контроля в объеме не менее 30% от годового объема рабочего времени.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В отношении каждого заказчика, контрактной службы заказчика, контрактного управляющего, уполномоченного учреждения, плановые проверки проводятся контрольным органом не чаще чем один раз в шесть месяцев.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 xml:space="preserve">В отношении комиссии по осуществлению закупок, специализированной организации плановые проверки проводятся в соответствии с периодичностью, установленной Федеральным </w:t>
      </w:r>
      <w:hyperlink r:id="rId3">
        <w:r>
          <w:rPr>
            <w:rStyle w:val="Style17"/>
            <w:rFonts w:cs="Arial" w:ascii="Arial" w:hAnsi="Arial"/>
            <w:color w:val="000000"/>
            <w:sz w:val="26"/>
            <w:szCs w:val="26"/>
            <w:u w:val="none"/>
          </w:rPr>
          <w:t>законом</w:t>
        </w:r>
      </w:hyperlink>
      <w:r>
        <w:rPr>
          <w:rFonts w:cs="Arial" w:ascii="Arial" w:hAnsi="Arial"/>
          <w:color w:val="000000"/>
          <w:sz w:val="26"/>
          <w:szCs w:val="26"/>
          <w:u w:val="none"/>
        </w:rPr>
        <w:t>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2.4. План проверок должен содержать следующие сведения: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а) наименование контрольного органа, осуществляющего проверку;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>б) наименование, ИНН, адрес местонахождения субъекта контроля, в отношении которого принято решение о проведении проверки;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bookmarkStart w:id="3" w:name="Par58"/>
      <w:bookmarkEnd w:id="3"/>
      <w:r>
        <w:rPr>
          <w:rFonts w:cs="Arial" w:ascii="Arial" w:hAnsi="Arial"/>
          <w:sz w:val="26"/>
          <w:szCs w:val="26"/>
        </w:rPr>
        <w:t>в) месяц начала проведения проверки.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 xml:space="preserve">При планировании проверок в отношении комиссий по осуществлению закупок, специализированных организаций как отдельного субъекта контроля, в плане проверок сведения, предусмотренные </w:t>
      </w:r>
      <w:r>
        <w:rPr>
          <w:rStyle w:val="Style17"/>
          <w:rFonts w:cs="Arial" w:ascii="Arial" w:hAnsi="Arial"/>
          <w:color w:val="000000"/>
          <w:sz w:val="26"/>
          <w:szCs w:val="26"/>
          <w:u w:val="none"/>
        </w:rPr>
        <w:t>подпунктами "б"</w:t>
      </w:r>
      <w:r>
        <w:rPr>
          <w:rFonts w:cs="Arial" w:ascii="Arial" w:hAnsi="Arial"/>
          <w:color w:val="000000"/>
          <w:sz w:val="26"/>
          <w:szCs w:val="26"/>
          <w:u w:val="none"/>
        </w:rPr>
        <w:t xml:space="preserve">, </w:t>
      </w:r>
      <w:r>
        <w:rPr>
          <w:rStyle w:val="Style17"/>
          <w:rFonts w:cs="Arial" w:ascii="Arial" w:hAnsi="Arial"/>
          <w:color w:val="000000"/>
          <w:sz w:val="26"/>
          <w:szCs w:val="26"/>
          <w:u w:val="none"/>
        </w:rPr>
        <w:t>"в"</w:t>
      </w:r>
      <w:r>
        <w:rPr>
          <w:rFonts w:cs="Arial" w:ascii="Arial" w:hAnsi="Arial"/>
          <w:color w:val="000000"/>
          <w:sz w:val="26"/>
          <w:szCs w:val="26"/>
          <w:u w:val="none"/>
        </w:rPr>
        <w:t xml:space="preserve"> </w:t>
      </w:r>
      <w:r>
        <w:rPr>
          <w:rFonts w:cs="Arial" w:ascii="Arial" w:hAnsi="Arial"/>
          <w:sz w:val="26"/>
          <w:szCs w:val="26"/>
        </w:rPr>
        <w:t>настоящего пункта, указываются следующим образом: в разделе плана проверок, предусматривающем внесение сведений о субъекте контроля, указывается соответственно "комиссии по осуществлению закупок", "специализированные организации"; в разделе плана проверок, предусматривающем внесение сведений о месяце начала проведения проверки, указывается "выборочно в течение периода планирования по мере проведения закупок". В указанном случае контрольным органом проверка комиссий по осуществлению закупок, специализированных организаций проводится выборочно по мере осуществления закупок в течение периода, на который разрабатывается план проверок (но не реже чем 1 раз в квартал, при их наличии).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2.5. План проверок утверждается на шесть месяцев. Внесение изменений в план проверок допускается не позднее чем за 15 дней до начала проведения проверки, в отношении которой вносятся такие изменения. В случаях, связанных с исключением субъекта контроля из плана проверок по объективным причинам, обуславливающих невозможность проведения проверки, в том числе ликвидация субъекта контроля, смена организационно-правовой формы, соответствующие изменения в план проверок вносятся до даты начала проверки.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План проверок, а также вносимые в него изменения размещаются контрольным органом в единой информационной системе в сфере закупок в реестре жалоб, плановых и внеплановых проверок, принятых по ним решений и выданных предписаний, в случаях, порядке и сроки, установленные Правительством Российской Федерации.</w:t>
      </w:r>
    </w:p>
    <w:p>
      <w:pPr>
        <w:pStyle w:val="ConsPlusNormal1"/>
        <w:spacing w:lineRule="atLeast" w:line="10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ab/>
        <w:t>2.6. Проведение плановой проверки включает в себя:</w:t>
      </w:r>
    </w:p>
    <w:p>
      <w:pPr>
        <w:pStyle w:val="ConsPlusNormal1"/>
        <w:spacing w:lineRule="atLeast" w:line="100"/>
        <w:jc w:val="both"/>
        <w:rPr/>
      </w:pPr>
      <w:r>
        <w:rPr>
          <w:rFonts w:cs="Arial" w:ascii="Arial" w:hAnsi="Arial"/>
          <w:sz w:val="26"/>
          <w:szCs w:val="26"/>
        </w:rPr>
        <w:tab/>
        <w:t>а) подготовку к проведению плановой проверки;</w:t>
      </w:r>
    </w:p>
    <w:p>
      <w:pPr>
        <w:pStyle w:val="ConsPlusNormal1"/>
        <w:spacing w:lineRule="atLeast" w:line="100"/>
        <w:jc w:val="both"/>
        <w:rPr/>
      </w:pPr>
      <w:r>
        <w:rPr>
          <w:rFonts w:cs="Arial" w:ascii="Arial" w:hAnsi="Arial"/>
          <w:sz w:val="26"/>
          <w:szCs w:val="26"/>
        </w:rPr>
        <w:tab/>
        <w:t>б) проведение плановой проверки в два этапа, которые могут проводиться одновременно:</w:t>
      </w:r>
    </w:p>
    <w:p>
      <w:pPr>
        <w:pStyle w:val="ConsPlusNormal1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первый этап проверки предусматривает рассмотрение закупок товаров, работ, услуг, находящихся на стадии определения поставщиков (подрядчиков, исполнителей) до заключения контракта, на предмет их соответствия требованиям законодательства о контрактной системе в сфере закупок;</w:t>
      </w:r>
    </w:p>
    <w:p>
      <w:pPr>
        <w:pStyle w:val="ConsPlusNormal1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второй этап проверки предусматривает рассмотрение закупок товаров, работ, услуг, контракты по которым уже заключены, на предмет их соответствия требованиям законодательства о контрактной системе в сфере закупок;</w:t>
      </w:r>
    </w:p>
    <w:p>
      <w:pPr>
        <w:pStyle w:val="ConsPlusNormal1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в) оформление результатов плановой проверки.</w:t>
      </w:r>
    </w:p>
    <w:p>
      <w:pPr>
        <w:pStyle w:val="ConsPlusNormal1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2.7. Срок проверки не может превышать 30 рабочих дней со дня получения от субъекта контроля документов и информации, представленных по запросу контрольного органа.</w:t>
      </w:r>
    </w:p>
    <w:p>
      <w:pPr>
        <w:pStyle w:val="ConsPlusNormal1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Срок проверки продлевается в исключительных случаях, связанных с необходимостью проведения сложных и (или) длительных исследований, испытаний, экспертиз и расследований, на основании приказа руководителя контрольного органа, проводящего проверку.</w:t>
      </w:r>
    </w:p>
    <w:p>
      <w:pPr>
        <w:pStyle w:val="ConsPlusNormal1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При этом срок проведения проверки продлевается не более одного раза и общий срок проведения проверки не может составлять более чем два месяца, в исключительных случаях - не более чем шесть месяцев.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2.8. Перед проверкой должностным лицом контрольного органа подготавливаются следующие документы: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>а) распоряжение администрации Уватского муниципального района о проведении проверки;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б) уведомление о проведении проверки (за исключением плановой проверки в отношении комиссии по осуществлению закупок как отдельного субъекта контроля).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bookmarkStart w:id="4" w:name="Par65"/>
      <w:bookmarkEnd w:id="4"/>
      <w:r>
        <w:rPr>
          <w:rFonts w:cs="Arial" w:ascii="Arial" w:hAnsi="Arial"/>
          <w:sz w:val="26"/>
          <w:szCs w:val="26"/>
        </w:rPr>
        <w:t>2.9. Распоряжение о проведении проверки должно содержать следующие сведения: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а) наименование контрольного органа;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б) состав инспекции с указанием фамилии, имени, отчества (при наличии) и должности каждого члена инспекции и с указанием руководителя инспекции;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в) предмет проверки;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г) цель и основания проведения проверки;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д) дату начала и дату окончания проведения проверки;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е) проверяемый период;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ж) сроки, в течение которых составляется акт по результатам проведения проверки;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з) наименование субъектов контроля.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2.10. Уведомление о проведении проверки должно содержать следующие сведения: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а) предмет проверки;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б) цель и основания проведения проверки;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в) дату начала и дату окончания проведения проверки;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г) проверяемый период;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д) документы и сведения, необходимые для осуществления проверки, с указанием срока их предоставления субъектами контроля;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е) информацию о необходимости уведомления субъектом контроля лиц, выполняющих функции по осуществлению закупок для данного субъекта в проверяемый период;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ж) информацию о необходимости обеспечения условий для работы инспекции: предоставление помещения для работы, которое должно быть оснащено рабочим местом для письма и раскладки документов (стульями, столами), персональным компьютером с возможностью доступа к информационно-телекоммуникационной сети "Интернет", печатающим и сканирующим устройством, телефонной связью, возможностью копирования документов.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2.11. Уведомление о проведении проверки направляется почтовым отправлением с уведомлением о вручении либо нарочно с отметкой о получении, либо любым иным способом, позволяющим доставить уведомление в срок не позднее чем за пять рабочих дней до даты проведения проверки. При проведении плановой проверки комиссий по осуществлению закупок как отдельного субъекта контроля подготовка и направление уведомления о проведении плановой проверки не осуществляется.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bookmarkStart w:id="5" w:name="Par83"/>
      <w:bookmarkEnd w:id="5"/>
      <w:r>
        <w:rPr>
          <w:rFonts w:cs="Arial" w:ascii="Arial" w:hAnsi="Arial"/>
          <w:sz w:val="26"/>
          <w:szCs w:val="26"/>
        </w:rPr>
        <w:t>2.12. В состав инспекции, образованной контрольным органом для проведения проверки, должно входить не менее трех человек. Инспекцию возглавляет руководитель инспекции.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>2.13. В случаях, если по результатам проведения проверки выявлены нарушения законодательства в сфере закупок, инспекция одновременно с подписанием акта проверки выдает предписание об устранении нарушений законодательства в сфере закупок (далее - Предписание), за исключением случаев, когда инспекция пришла к выводу, что выявленные нарушения не повлияли на результаты осуществленных закупок.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При этом Предписание инспекции является неотъемлемой частью акта проверки и приобщается к материалам проверки.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Не допускается выдача Предписаний о недопущении нарушений законодательства в сфере закупок в будущем.</w:t>
      </w:r>
    </w:p>
    <w:p>
      <w:pPr>
        <w:pStyle w:val="Style21"/>
        <w:spacing w:lineRule="atLeast" w:line="100"/>
        <w:rPr>
          <w:rFonts w:ascii="Arial" w:hAnsi="Arial" w:cs="Arial"/>
          <w:sz w:val="26"/>
          <w:szCs w:val="26"/>
        </w:rPr>
      </w:pPr>
      <w:bookmarkStart w:id="6" w:name="Par134"/>
      <w:bookmarkEnd w:id="6"/>
      <w:r>
        <w:rPr>
          <w:rFonts w:cs="Arial" w:ascii="Arial" w:hAnsi="Arial"/>
          <w:sz w:val="26"/>
          <w:szCs w:val="26"/>
        </w:rPr>
        <w:tab/>
        <w:t>2.14. В Предписании должны быть указаны:</w:t>
      </w:r>
    </w:p>
    <w:p>
      <w:pPr>
        <w:pStyle w:val="Style21"/>
        <w:spacing w:lineRule="atLeast" w:line="10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ab/>
        <w:t>а) дата и место выдачи Предписания;</w:t>
      </w:r>
    </w:p>
    <w:p>
      <w:pPr>
        <w:pStyle w:val="Style21"/>
        <w:spacing w:lineRule="atLeast" w:line="10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ab/>
        <w:t>б) состав инспекции;</w:t>
      </w:r>
    </w:p>
    <w:p>
      <w:pPr>
        <w:pStyle w:val="Style21"/>
        <w:spacing w:lineRule="atLeast" w:line="10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ab/>
        <w:t>в) сведения о решении, на основании которого выдается Предписание;</w:t>
      </w:r>
    </w:p>
    <w:p>
      <w:pPr>
        <w:pStyle w:val="Style21"/>
        <w:spacing w:lineRule="atLeast" w:line="100"/>
        <w:rPr/>
      </w:pPr>
      <w:r>
        <w:rPr>
          <w:rFonts w:cs="Arial" w:ascii="Arial" w:hAnsi="Arial"/>
          <w:sz w:val="26"/>
          <w:szCs w:val="26"/>
        </w:rPr>
        <w:tab/>
        <w:t>г) наименование, адрес лиц, которым выдается Предписание;</w:t>
      </w:r>
    </w:p>
    <w:p>
      <w:pPr>
        <w:pStyle w:val="Style21"/>
        <w:spacing w:lineRule="atLeast" w:line="100"/>
        <w:rPr/>
      </w:pPr>
      <w:r>
        <w:rPr>
          <w:rFonts w:cs="Arial" w:ascii="Arial" w:hAnsi="Arial"/>
          <w:sz w:val="26"/>
          <w:szCs w:val="26"/>
        </w:rPr>
        <w:tab/>
        <w:t>д) требования о совершении действий, направленных на устранение нарушений законодательства в сфере закупок;</w:t>
      </w:r>
    </w:p>
    <w:p>
      <w:pPr>
        <w:pStyle w:val="Style21"/>
        <w:spacing w:lineRule="atLeast" w:line="10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ab/>
        <w:t>е) сроки, в течение которых должно быть исполнено Предписание;</w:t>
      </w:r>
    </w:p>
    <w:p>
      <w:pPr>
        <w:pStyle w:val="Style21"/>
        <w:spacing w:lineRule="atLeast" w:line="100"/>
        <w:rPr/>
      </w:pPr>
      <w:r>
        <w:rPr>
          <w:rFonts w:cs="Arial" w:ascii="Arial" w:hAnsi="Arial"/>
          <w:sz w:val="26"/>
          <w:szCs w:val="26"/>
        </w:rPr>
        <w:tab/>
        <w:t>ж) сроки, в течение которых в контрольный орган должно поступить подтверждение исполнения Предписания.</w:t>
      </w:r>
    </w:p>
    <w:p>
      <w:pPr>
        <w:pStyle w:val="Style21"/>
        <w:spacing w:lineRule="atLeast" w:line="10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ab/>
        <w:t>2.15. Под действиями, направленными на устранение нарушений законодательства в сфере закупок, понимаются:</w:t>
      </w:r>
    </w:p>
    <w:p>
      <w:pPr>
        <w:pStyle w:val="Style21"/>
        <w:spacing w:lineRule="atLeast" w:line="10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ab/>
        <w:t>а) отмена решений комиссий по осуществлению закупок, принятых в ходе проведения процедур определения поставщика (подрядчика, исполнителя). Предписание, предусматривающее отмену решений комиссий по осуществлению закупок, выдается также в том случае, если выдается Предписание, предусматривающее внесение изменений в извещение об осуществлении закупки и (или) в документацию о закупке;</w:t>
      </w:r>
    </w:p>
    <w:p>
      <w:pPr>
        <w:pStyle w:val="Style21"/>
        <w:spacing w:lineRule="atLeast" w:line="100"/>
        <w:rPr/>
      </w:pPr>
      <w:r>
        <w:rPr>
          <w:rFonts w:cs="Arial" w:ascii="Arial" w:hAnsi="Arial"/>
          <w:sz w:val="26"/>
          <w:szCs w:val="26"/>
        </w:rPr>
        <w:tab/>
        <w:t>б) внесение изменений в документацию о закупке, извещение об осуществлении закупки. При этом срок подачи заявок на участие в закупке должен быть продлен таким образом, чтобы с момента размещения таких изменений он соответствовал срокам, установленным законодательством в сфере закупок, в случае внесения изменений в указанные документы;</w:t>
      </w:r>
    </w:p>
    <w:p>
      <w:pPr>
        <w:pStyle w:val="Style21"/>
        <w:spacing w:lineRule="atLeast" w:line="100"/>
        <w:rPr/>
      </w:pPr>
      <w:r>
        <w:rPr>
          <w:rFonts w:cs="Arial" w:ascii="Arial" w:hAnsi="Arial"/>
          <w:sz w:val="26"/>
          <w:szCs w:val="26"/>
        </w:rPr>
        <w:tab/>
        <w:t>в) аннулирование определения поставщиков (подрядчиков, исполнителей);</w:t>
      </w:r>
    </w:p>
    <w:p>
      <w:pPr>
        <w:pStyle w:val="Style21"/>
        <w:spacing w:lineRule="atLeast" w:line="100"/>
        <w:rPr/>
      </w:pPr>
      <w:r>
        <w:rPr>
          <w:rFonts w:cs="Arial" w:ascii="Arial" w:hAnsi="Arial"/>
          <w:sz w:val="26"/>
          <w:szCs w:val="26"/>
        </w:rPr>
        <w:tab/>
        <w:t>г) проведение определения поставщика (подрядчика, исполнителя) в соответствии с требованиями законодательства в сфере закупок. При этом должны быть указаны конкретные действия, которые должно совершить лицо, в отношении которого выдано Предписание, для устранения указанного нарушения.</w:t>
      </w:r>
    </w:p>
    <w:p>
      <w:pPr>
        <w:pStyle w:val="Style21"/>
        <w:spacing w:lineRule="atLeast" w:line="100"/>
        <w:rPr/>
      </w:pPr>
      <w:r>
        <w:rPr>
          <w:rFonts w:cs="Arial" w:ascii="Arial" w:hAnsi="Arial"/>
          <w:sz w:val="26"/>
          <w:szCs w:val="26"/>
        </w:rPr>
        <w:tab/>
        <w:t>2.16. Предписание подлежит исполнению в срок, установленный таким Предписанием.</w:t>
      </w:r>
    </w:p>
    <w:p>
      <w:pPr>
        <w:pStyle w:val="Style21"/>
        <w:spacing w:lineRule="atLeast" w:line="100"/>
        <w:rPr/>
      </w:pPr>
      <w:bookmarkStart w:id="7" w:name="Par150"/>
      <w:bookmarkEnd w:id="7"/>
      <w:r>
        <w:rPr>
          <w:rFonts w:cs="Arial" w:ascii="Arial" w:hAnsi="Arial"/>
          <w:sz w:val="26"/>
          <w:szCs w:val="26"/>
        </w:rPr>
        <w:tab/>
        <w:t>2.17. Предписание в течение трех рабочих дней с даты его выдачи размещается контрольным органом в единой информационной системе и направляется лицу, в отношении которого выдано Предписание, не позднее пяти рабочих дней со дня его выдачи почтовым отправлением либо нарочно с отметкой о получении в срок.</w:t>
      </w:r>
    </w:p>
    <w:p>
      <w:pPr>
        <w:pStyle w:val="Style21"/>
        <w:spacing w:lineRule="atLeast" w:line="100"/>
        <w:rPr/>
      </w:pPr>
      <w:bookmarkStart w:id="8" w:name="Par151"/>
      <w:bookmarkEnd w:id="8"/>
      <w:r>
        <w:rPr>
          <w:rFonts w:cs="Arial" w:ascii="Arial" w:hAnsi="Arial"/>
          <w:sz w:val="26"/>
          <w:szCs w:val="26"/>
        </w:rPr>
        <w:tab/>
        <w:t>2.18. Лицо, в отношении которого выдано Предписание, вправе направить инспекции, выдавшей Предписание, мотивированное ходатайство о продлении срока исполнения Предписания, установленного таким Предписанием.</w:t>
      </w:r>
    </w:p>
    <w:p>
      <w:pPr>
        <w:pStyle w:val="Style21"/>
        <w:spacing w:lineRule="atLeast" w:line="10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ab/>
        <w:t>Поступившее ходатайство о продлении срока исполнения Предписания рассматривается инспекцией в течение пяти рабочих дней со дня его поступления в контрольный орган. По результатам рассмотрения указанного ходатайства инспекция изготавливает в письменной форме мотивированное решение о продлении срока исполнения Предписания с одновременным установлением нового срока исполнения Предписания в случаях, когда неисполнение Предписания вызвано причинами, не зависящими от лица, которому выдано Предписание, либо об отказе в продлении срока исполнения Предписания.</w:t>
      </w:r>
    </w:p>
    <w:p>
      <w:pPr>
        <w:pStyle w:val="Style21"/>
        <w:spacing w:lineRule="atLeast" w:line="100"/>
        <w:rPr/>
      </w:pPr>
      <w:r>
        <w:rPr>
          <w:rFonts w:cs="Arial" w:ascii="Arial" w:hAnsi="Arial"/>
          <w:sz w:val="26"/>
          <w:szCs w:val="26"/>
        </w:rPr>
        <w:t xml:space="preserve">Указанное решение инспекции размещается и направляется в соответствии с </w:t>
      </w:r>
      <w:r>
        <w:rPr>
          <w:rStyle w:val="Style17"/>
          <w:rFonts w:cs="Arial" w:ascii="Arial" w:hAnsi="Arial"/>
          <w:color w:val="000000"/>
          <w:sz w:val="26"/>
          <w:szCs w:val="26"/>
          <w:u w:val="none"/>
        </w:rPr>
        <w:t>пунктом 2.17</w:t>
      </w:r>
      <w:r>
        <w:rPr>
          <w:rFonts w:cs="Arial" w:ascii="Arial" w:hAnsi="Arial"/>
          <w:color w:val="000000"/>
          <w:sz w:val="26"/>
          <w:szCs w:val="26"/>
          <w:u w:val="none"/>
        </w:rPr>
        <w:t xml:space="preserve"> н</w:t>
      </w:r>
      <w:r>
        <w:rPr>
          <w:rFonts w:cs="Arial" w:ascii="Arial" w:hAnsi="Arial"/>
          <w:sz w:val="26"/>
          <w:szCs w:val="26"/>
        </w:rPr>
        <w:t>астоящего Порядка.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>2.19. Отмена выданного предписания осуществляется на основании приказа руководителя контрольного органа либо на основании решения суда.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>2.20.  В случае неисполнения в срок выданного предписания контрольный орган вправе применить к не исполнившему такое предписание руководителю или уполномоченному должностному лицу субъекта контроля меры ответственности в соответствии с действующим законодательством.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center"/>
        <w:outlineLvl w:val="1"/>
        <w:rPr>
          <w:rFonts w:ascii="Arial" w:hAnsi="Arial" w:cs="Arial"/>
          <w:sz w:val="26"/>
          <w:szCs w:val="26"/>
        </w:rPr>
      </w:pPr>
      <w:bookmarkStart w:id="9" w:name="Par192"/>
      <w:bookmarkEnd w:id="9"/>
      <w:r>
        <w:rPr>
          <w:rFonts w:cs="Arial" w:ascii="Arial" w:hAnsi="Arial"/>
          <w:sz w:val="26"/>
          <w:szCs w:val="26"/>
        </w:rPr>
        <w:t>3. Организация и проведение внеплановых проверок</w:t>
      </w:r>
    </w:p>
    <w:p>
      <w:pPr>
        <w:pStyle w:val="Normal"/>
        <w:widowControl w:val="false"/>
        <w:spacing w:lineRule="auto" w:line="240" w:before="0" w:after="0"/>
        <w:ind w:firstLine="540"/>
        <w:jc w:val="center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3.1. Внеплановые проверки проводятся в соответствии с Распоряжением администрации Уватского муниципального района.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 xml:space="preserve">3.2. В соответствии с </w:t>
      </w:r>
      <w:r>
        <w:rPr>
          <w:rStyle w:val="Style17"/>
          <w:rFonts w:cs="Arial" w:ascii="Arial" w:hAnsi="Arial"/>
          <w:color w:val="000000"/>
          <w:sz w:val="26"/>
          <w:szCs w:val="26"/>
          <w:u w:val="none"/>
        </w:rPr>
        <w:t>частью 15 статьи 99</w:t>
      </w:r>
      <w:r>
        <w:rPr>
          <w:rFonts w:cs="Arial" w:ascii="Arial" w:hAnsi="Arial"/>
          <w:sz w:val="26"/>
          <w:szCs w:val="26"/>
        </w:rPr>
        <w:t xml:space="preserve"> Федерального закона внеплановые проверки осуществляются по следующим основаниям: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bookmarkStart w:id="10" w:name="Par196"/>
      <w:bookmarkEnd w:id="10"/>
      <w:r>
        <w:rPr>
          <w:rFonts w:cs="Arial" w:ascii="Arial" w:hAnsi="Arial"/>
          <w:sz w:val="26"/>
          <w:szCs w:val="26"/>
        </w:rPr>
        <w:t xml:space="preserve">а) получение обращения участника закупки либо осуществляющих общественный контроль общественного объединения или объединения юридических лиц с жалобой на действия (бездействие) заказчика, уполномоченного учреждения, специализированной организации или комиссии по осуществлению закупок, ее членов, должностных лиц контрактной службы, контрактного управляющего. Рассмотрение такой жалобы осуществляется в порядке, установленном </w:t>
      </w:r>
      <w:r>
        <w:rPr>
          <w:rStyle w:val="Style17"/>
          <w:rFonts w:cs="Arial" w:ascii="Arial" w:hAnsi="Arial"/>
          <w:color w:val="000000"/>
          <w:sz w:val="26"/>
          <w:szCs w:val="26"/>
          <w:u w:val="none"/>
        </w:rPr>
        <w:t>главой 6</w:t>
      </w:r>
      <w:r>
        <w:rPr>
          <w:rFonts w:cs="Arial" w:ascii="Arial" w:hAnsi="Arial"/>
          <w:color w:val="000000"/>
          <w:sz w:val="26"/>
          <w:szCs w:val="26"/>
          <w:u w:val="none"/>
        </w:rPr>
        <w:t xml:space="preserve"> </w:t>
      </w:r>
      <w:r>
        <w:rPr>
          <w:rFonts w:cs="Arial" w:ascii="Arial" w:hAnsi="Arial"/>
          <w:sz w:val="26"/>
          <w:szCs w:val="26"/>
        </w:rPr>
        <w:t>Федерального закона;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>б) поступление информации о нарушении законодательства в сфере закупок;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bookmarkStart w:id="11" w:name="Par198"/>
      <w:bookmarkEnd w:id="11"/>
      <w:r>
        <w:rPr>
          <w:rFonts w:cs="Arial" w:ascii="Arial" w:hAnsi="Arial"/>
          <w:sz w:val="26"/>
          <w:szCs w:val="26"/>
        </w:rPr>
        <w:t xml:space="preserve">в) истечение срока исполнения ранее выданного в соответствии с </w:t>
      </w:r>
      <w:r>
        <w:rPr>
          <w:rStyle w:val="Style17"/>
          <w:rFonts w:cs="Arial" w:ascii="Arial" w:hAnsi="Arial"/>
          <w:color w:val="000000"/>
          <w:sz w:val="26"/>
          <w:szCs w:val="26"/>
          <w:u w:val="none"/>
        </w:rPr>
        <w:t>главой 2</w:t>
      </w:r>
      <w:r>
        <w:rPr>
          <w:rFonts w:cs="Arial" w:ascii="Arial" w:hAnsi="Arial"/>
          <w:sz w:val="26"/>
          <w:szCs w:val="26"/>
        </w:rPr>
        <w:t xml:space="preserve"> настоящего Порядка Предписания.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bookmarkStart w:id="12" w:name="Par199"/>
      <w:bookmarkEnd w:id="12"/>
      <w:r>
        <w:rPr>
          <w:rFonts w:cs="Arial" w:ascii="Arial" w:hAnsi="Arial"/>
          <w:sz w:val="26"/>
          <w:szCs w:val="26"/>
        </w:rPr>
        <w:t xml:space="preserve">3.3. Внеплановые проверки по основаниям, указанным в </w:t>
      </w:r>
      <w:r>
        <w:rPr>
          <w:rStyle w:val="Style17"/>
          <w:rFonts w:cs="Arial" w:ascii="Arial" w:hAnsi="Arial"/>
          <w:color w:val="000000"/>
          <w:sz w:val="26"/>
          <w:szCs w:val="26"/>
          <w:u w:val="none"/>
        </w:rPr>
        <w:t>подпунктах "б"</w:t>
      </w:r>
      <w:r>
        <w:rPr>
          <w:rFonts w:cs="Arial" w:ascii="Arial" w:hAnsi="Arial"/>
          <w:color w:val="000000"/>
          <w:sz w:val="26"/>
          <w:szCs w:val="26"/>
          <w:u w:val="none"/>
        </w:rPr>
        <w:t xml:space="preserve"> </w:t>
      </w:r>
      <w:r>
        <w:rPr>
          <w:rFonts w:cs="Arial" w:ascii="Arial" w:hAnsi="Arial"/>
          <w:sz w:val="26"/>
          <w:szCs w:val="26"/>
        </w:rPr>
        <w:t xml:space="preserve">и </w:t>
      </w:r>
      <w:r>
        <w:rPr>
          <w:rStyle w:val="Style17"/>
          <w:rFonts w:cs="Arial" w:ascii="Arial" w:hAnsi="Arial"/>
          <w:color w:val="000000"/>
          <w:sz w:val="26"/>
          <w:szCs w:val="26"/>
          <w:u w:val="none"/>
        </w:rPr>
        <w:t>"в" пункта 3.2</w:t>
      </w:r>
      <w:r>
        <w:rPr>
          <w:rFonts w:cs="Arial" w:ascii="Arial" w:hAnsi="Arial"/>
          <w:sz w:val="26"/>
          <w:szCs w:val="26"/>
        </w:rPr>
        <w:t xml:space="preserve"> настоящего Порядка, проводятся инспекцией в составе группы сотрудников контрольного органа в сфере закупок не менее двух человек. Срок проведения внеплановой проверки составляет не более двух месяцев. Персональный состав инспекции и срок проведения внеплановой проверки зависит от предмета, периода проверки и указывается в Распоряжении о проведении проверки.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 xml:space="preserve">Изменение состава инспекции, а также сроков проведения проверки осуществляется путем внесения изменений в Распоряжение о проведении проверки по основаниям, предусмотренным  </w:t>
      </w:r>
      <w:r>
        <w:rPr>
          <w:rStyle w:val="Style17"/>
          <w:rFonts w:cs="Arial" w:ascii="Arial" w:hAnsi="Arial"/>
          <w:color w:val="000000"/>
          <w:sz w:val="26"/>
          <w:szCs w:val="26"/>
          <w:u w:val="none"/>
        </w:rPr>
        <w:t>пунктом 2.12</w:t>
      </w:r>
      <w:r>
        <w:rPr>
          <w:rFonts w:cs="Arial" w:ascii="Arial" w:hAnsi="Arial"/>
          <w:sz w:val="26"/>
          <w:szCs w:val="26"/>
        </w:rPr>
        <w:t xml:space="preserve"> настоящего Порядка, при этом общий срок проведения проверки не может превышать срока, указанного в </w:t>
      </w:r>
      <w:r>
        <w:rPr>
          <w:rStyle w:val="Style17"/>
          <w:rFonts w:cs="Arial" w:ascii="Arial" w:hAnsi="Arial"/>
          <w:color w:val="000000"/>
          <w:sz w:val="26"/>
          <w:szCs w:val="26"/>
          <w:u w:val="none"/>
        </w:rPr>
        <w:t>абзаце первом</w:t>
      </w:r>
      <w:r>
        <w:rPr>
          <w:rFonts w:cs="Arial" w:ascii="Arial" w:hAnsi="Arial"/>
          <w:color w:val="000000"/>
          <w:sz w:val="26"/>
          <w:szCs w:val="26"/>
          <w:u w:val="none"/>
        </w:rPr>
        <w:t xml:space="preserve"> </w:t>
      </w:r>
      <w:r>
        <w:rPr>
          <w:rFonts w:cs="Arial" w:ascii="Arial" w:hAnsi="Arial"/>
          <w:sz w:val="26"/>
          <w:szCs w:val="26"/>
        </w:rPr>
        <w:t>настоящего пункта.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 xml:space="preserve">3.4. Внеплановые проверки по основанию, указанному в </w:t>
      </w:r>
      <w:r>
        <w:rPr>
          <w:rStyle w:val="Style17"/>
          <w:rFonts w:cs="Arial" w:ascii="Arial" w:hAnsi="Arial"/>
          <w:color w:val="000000"/>
          <w:sz w:val="26"/>
          <w:szCs w:val="26"/>
          <w:u w:val="none"/>
        </w:rPr>
        <w:t>подпункте "а"</w:t>
      </w:r>
      <w:r>
        <w:rPr>
          <w:rStyle w:val="Style17"/>
          <w:rFonts w:cs="Arial" w:ascii="Arial" w:hAnsi="Arial"/>
          <w:sz w:val="26"/>
          <w:szCs w:val="26"/>
        </w:rPr>
        <w:t xml:space="preserve"> </w:t>
      </w:r>
      <w:r>
        <w:rPr>
          <w:rStyle w:val="Style17"/>
          <w:rFonts w:cs="Arial" w:ascii="Arial" w:hAnsi="Arial"/>
          <w:color w:val="000000"/>
          <w:sz w:val="26"/>
          <w:szCs w:val="26"/>
          <w:u w:val="none"/>
        </w:rPr>
        <w:t>пункта 3.2</w:t>
      </w:r>
      <w:r>
        <w:rPr>
          <w:rFonts w:cs="Arial" w:ascii="Arial" w:hAnsi="Arial"/>
          <w:color w:val="000000"/>
          <w:sz w:val="26"/>
          <w:szCs w:val="26"/>
          <w:u w:val="none"/>
        </w:rPr>
        <w:t xml:space="preserve"> </w:t>
      </w:r>
      <w:r>
        <w:rPr>
          <w:rFonts w:cs="Arial" w:ascii="Arial" w:hAnsi="Arial"/>
          <w:sz w:val="26"/>
          <w:szCs w:val="26"/>
        </w:rPr>
        <w:t xml:space="preserve">настоящего Порядка, проводятся в порядке и сроки, установленные </w:t>
      </w:r>
      <w:r>
        <w:rPr>
          <w:rStyle w:val="Style17"/>
          <w:rFonts w:cs="Arial" w:ascii="Arial" w:hAnsi="Arial"/>
          <w:color w:val="000000"/>
          <w:sz w:val="26"/>
          <w:szCs w:val="26"/>
          <w:u w:val="none"/>
        </w:rPr>
        <w:t>главой 6</w:t>
      </w:r>
      <w:r>
        <w:rPr>
          <w:rFonts w:cs="Arial" w:ascii="Arial" w:hAnsi="Arial"/>
          <w:sz w:val="26"/>
          <w:szCs w:val="26"/>
        </w:rPr>
        <w:t xml:space="preserve"> Федерального закона.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Рассмотрение жалобы по существу осуществляется на коллегиальной основе, инспекцией в составе сотрудников контрольного органа не менее трех человек. Персональный состав инспекции утверждается в Распоряжении администрации Уватского муниципального района о проведении проверки.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По результатам проведения проверки и рассмотрения жалобы инспекцией принимается единое решение.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3.5. Информация о нарушении законодательства в сфере закупок может быть получена как самостоятельно сотрудниками контрольного органа из различных источников, в том числе в ходе мониторинга информации, размещенной в единой информационной системе в сфере закупок, так и от иных лиц. Если обращение не позволяет установить обратившееся лицо (анонимное обращение), то внеплановая проверка не проводится.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 xml:space="preserve">3.6. Распоряжение о проведении внеплановой проверки должно содержать сведения, предусмотренные </w:t>
      </w:r>
      <w:r>
        <w:rPr>
          <w:rStyle w:val="Style17"/>
          <w:rFonts w:cs="Arial" w:ascii="Arial" w:hAnsi="Arial"/>
          <w:color w:val="000000"/>
          <w:sz w:val="26"/>
          <w:szCs w:val="26"/>
          <w:u w:val="none"/>
        </w:rPr>
        <w:t>пунктом 2.8</w:t>
      </w:r>
      <w:r>
        <w:rPr>
          <w:rFonts w:cs="Arial" w:ascii="Arial" w:hAnsi="Arial"/>
          <w:color w:val="000000"/>
          <w:sz w:val="26"/>
          <w:szCs w:val="26"/>
          <w:u w:val="none"/>
        </w:rPr>
        <w:t xml:space="preserve"> </w:t>
      </w:r>
      <w:r>
        <w:rPr>
          <w:rFonts w:cs="Arial" w:ascii="Arial" w:hAnsi="Arial"/>
          <w:sz w:val="26"/>
          <w:szCs w:val="26"/>
        </w:rPr>
        <w:t xml:space="preserve">настоящего Порядка, с дополнительным указанием основания проведения внеплановой проверки, предусмотренного Федеральным </w:t>
      </w:r>
      <w:r>
        <w:rPr>
          <w:rStyle w:val="Style17"/>
          <w:rFonts w:cs="Arial" w:ascii="Arial" w:hAnsi="Arial"/>
          <w:color w:val="000000"/>
          <w:sz w:val="26"/>
          <w:szCs w:val="26"/>
          <w:u w:val="none"/>
        </w:rPr>
        <w:t>законом</w:t>
      </w:r>
      <w:r>
        <w:rPr>
          <w:rFonts w:cs="Arial" w:ascii="Arial" w:hAnsi="Arial"/>
          <w:color w:val="000000"/>
          <w:sz w:val="26"/>
          <w:szCs w:val="26"/>
          <w:u w:val="none"/>
        </w:rPr>
        <w:t>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 xml:space="preserve">3.7. Приступая к проведению внеплановых проверок, проводимых по основаниям, указанным в </w:t>
      </w:r>
      <w:r>
        <w:rPr>
          <w:rStyle w:val="Style17"/>
          <w:rFonts w:cs="Arial" w:ascii="Arial" w:hAnsi="Arial"/>
          <w:color w:val="000000"/>
          <w:sz w:val="26"/>
          <w:szCs w:val="26"/>
          <w:u w:val="none"/>
        </w:rPr>
        <w:t>подпунктах "б"</w:t>
      </w:r>
      <w:r>
        <w:rPr>
          <w:rFonts w:cs="Arial" w:ascii="Arial" w:hAnsi="Arial"/>
          <w:color w:val="000000"/>
          <w:sz w:val="26"/>
          <w:szCs w:val="26"/>
          <w:u w:val="none"/>
        </w:rPr>
        <w:t xml:space="preserve"> и </w:t>
      </w:r>
      <w:r>
        <w:rPr>
          <w:rStyle w:val="Style17"/>
          <w:rFonts w:cs="Arial" w:ascii="Arial" w:hAnsi="Arial"/>
          <w:color w:val="000000"/>
          <w:sz w:val="26"/>
          <w:szCs w:val="26"/>
          <w:u w:val="none"/>
        </w:rPr>
        <w:t>"в" пункта 3.2</w:t>
      </w:r>
      <w:r>
        <w:rPr>
          <w:rFonts w:cs="Arial" w:ascii="Arial" w:hAnsi="Arial"/>
          <w:sz w:val="26"/>
          <w:szCs w:val="26"/>
        </w:rPr>
        <w:t xml:space="preserve"> настоящего Порядка, руководитель инспекции должен предъявить для ознакомления субъекту контроля оригинал Распоряжения о проведении внеплановой проверки, представить членов инспекции, решить организационно-технические вопросы проведения проверки.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3.8. В случаях, если по результатам проведения внеплановой проверки выявлены нарушения законодательства в сфере закупок, инспекция выдает Предписание, за исключением случаев, когда инспекция пришла к выводу, что выявленные нарушения не повлияли на результаты осуществления закупки.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Не допускается выдача предписаний о недопущении нарушений законодательства в сфере закупок в будущем.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3.9. Содержание Предписания по результатам проведения внеплановой проверки должно соответствовать требованиям  </w:t>
      </w:r>
      <w:r>
        <w:rPr>
          <w:rStyle w:val="Style17"/>
          <w:rFonts w:cs="Arial" w:ascii="Arial" w:hAnsi="Arial"/>
          <w:color w:val="000000"/>
          <w:sz w:val="26"/>
          <w:szCs w:val="26"/>
          <w:u w:val="none"/>
        </w:rPr>
        <w:t>пункта 2.14</w:t>
      </w:r>
      <w:r>
        <w:rPr>
          <w:rFonts w:cs="Arial" w:ascii="Arial" w:hAnsi="Arial"/>
          <w:sz w:val="26"/>
          <w:szCs w:val="26"/>
        </w:rPr>
        <w:t xml:space="preserve"> настоящего Порядка.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 xml:space="preserve">3.10. Предписание по результатам проведения внеплановых проверок, проведенных по основаниям, указанным в </w:t>
      </w:r>
      <w:r>
        <w:rPr>
          <w:rStyle w:val="Style17"/>
          <w:rFonts w:cs="Arial" w:ascii="Arial" w:hAnsi="Arial"/>
          <w:color w:val="000000"/>
          <w:sz w:val="26"/>
          <w:szCs w:val="26"/>
          <w:u w:val="none"/>
        </w:rPr>
        <w:t>подпунктах "б"</w:t>
      </w:r>
      <w:r>
        <w:rPr>
          <w:rFonts w:cs="Arial" w:ascii="Arial" w:hAnsi="Arial"/>
          <w:color w:val="000000"/>
          <w:sz w:val="26"/>
          <w:szCs w:val="26"/>
          <w:u w:val="none"/>
        </w:rPr>
        <w:t xml:space="preserve"> и </w:t>
      </w:r>
      <w:r>
        <w:rPr>
          <w:rStyle w:val="Style17"/>
          <w:rFonts w:cs="Arial" w:ascii="Arial" w:hAnsi="Arial"/>
          <w:color w:val="000000"/>
          <w:sz w:val="26"/>
          <w:szCs w:val="26"/>
          <w:u w:val="none"/>
        </w:rPr>
        <w:t>"в" пункта 3.2</w:t>
      </w:r>
      <w:r>
        <w:rPr>
          <w:rFonts w:cs="Arial" w:ascii="Arial" w:hAnsi="Arial"/>
          <w:sz w:val="26"/>
          <w:szCs w:val="26"/>
        </w:rPr>
        <w:t xml:space="preserve"> настоящего Порядка, выдается одновременно с подписанием акта проверки и подписывается всеми членами инспекции. Указанное Предписание в течение трех рабочих дней с даты его выдачи размещается контрольным органом в единой информационной системе и направляется лицу, в отношении которого выдано Предписание, не позднее пяти рабочих дней со дня его выдачи почтовым отправлением либо нарочно с отметкой о получении в срок.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4. Оформление результатов проверки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ab/>
        <w:t>4.1. Результаты проверки оформляются актом (далее по тексту — акт проверки) в сроки, установленные распоряжением администрации Уватского муниципального района.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ab/>
        <w:t>4.2. Акт проверки состоит из вводной, мотивировочной и резолютивной частей.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Вводная часть акта проверки должна содержать: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а) наименование контрольного органа;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б) номер, дату и место составления акта;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в) дату и номер Распоряжения о проведении проверки;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г) основания, цели и сроки осуществления плановой проверки;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д) период проведения проверки;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е) предмет проверки;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ж) фамилии, имена, отчества (при наличии), наименования должностей членов инспекции, проводивших проверку;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>з) наименование, адрес местонахождения субъекта контроля, в отношении закупок которого принято решение о проведении проверки, или наименование, адрес местонахождения лиц, выполняющих в соответствии с законодательством в сфере закупок функцию по осуществлению закупок для нужд заказчика и (или) уполномоченного учреждения.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В мотивировочной части акта проверки должны быть указаны: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>а) обстоятельства, установленные при проведении проверки, и обосновывающие выводы инспекции;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>б) нормы законодательства в сфере закупок, которыми руководствовалась инспекция при принятии решения;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в) сведения о нарушении требований законодательства в сфере закупок, оценка этих нарушений.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Резолютивная часть акта проверки должна содержать: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а) выводы инспекции о наличии (отсутствии) со стороны лиц, действия (бездействие) которых проверяются, нарушений законодательства в сфере закупок со ссылками на конкретные нормы законодательства в сфере закупок, нарушение которых было установлено в результате проведения проверки;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б) в случае наличия в действиях (бездействии) субъекта контроля признаков административного правонарушения выводы инспекции о необходимости передачи материалов проверки </w:t>
      </w:r>
      <w:r>
        <w:rPr>
          <w:rFonts w:eastAsia="Calibri" w:cs="Arial" w:ascii="Arial" w:hAnsi="Arial"/>
          <w:sz w:val="26"/>
          <w:szCs w:val="26"/>
        </w:rPr>
        <w:t xml:space="preserve">в уполномоченный на осуществление контроля в сфере </w:t>
      </w:r>
      <w:r>
        <w:rPr>
          <w:rFonts w:cs="Arial" w:ascii="Arial" w:hAnsi="Arial"/>
          <w:sz w:val="26"/>
          <w:szCs w:val="26"/>
        </w:rPr>
        <w:t>закупок</w:t>
      </w:r>
      <w:r>
        <w:rPr>
          <w:rFonts w:eastAsia="Calibri" w:cs="Arial" w:ascii="Arial" w:hAnsi="Arial"/>
          <w:sz w:val="26"/>
          <w:szCs w:val="26"/>
        </w:rPr>
        <w:t xml:space="preserve"> орган исполнительной власти Тюменской области – Комитет по контролю в сфере </w:t>
      </w:r>
      <w:r>
        <w:rPr>
          <w:rFonts w:cs="Arial" w:ascii="Arial" w:hAnsi="Arial"/>
          <w:sz w:val="26"/>
          <w:szCs w:val="26"/>
        </w:rPr>
        <w:t>закупок</w:t>
      </w:r>
      <w:r>
        <w:rPr>
          <w:rFonts w:eastAsia="Calibri" w:cs="Arial" w:ascii="Arial" w:hAnsi="Arial"/>
          <w:sz w:val="26"/>
          <w:szCs w:val="26"/>
        </w:rPr>
        <w:t xml:space="preserve"> Тюменской области</w:t>
      </w:r>
      <w:r>
        <w:rPr>
          <w:rFonts w:cs="Arial" w:ascii="Arial" w:hAnsi="Arial"/>
          <w:sz w:val="26"/>
          <w:szCs w:val="26"/>
        </w:rPr>
        <w:t>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в) сведения о выдаче предписания об устранении выявленных нарушений законодательства в сфере закупок;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 xml:space="preserve">г) другие меры по устранению нарушений, в том числе об обращении в суд, арбитражный суд с исками о признании осуществленных закупок недействительными в соответствии с Гражданским </w:t>
      </w:r>
      <w:r>
        <w:rPr>
          <w:rStyle w:val="Style17"/>
          <w:rFonts w:cs="Arial" w:ascii="Arial" w:hAnsi="Arial"/>
          <w:color w:val="000000"/>
          <w:sz w:val="26"/>
          <w:szCs w:val="26"/>
          <w:u w:val="none"/>
        </w:rPr>
        <w:t>кодексом</w:t>
      </w:r>
      <w:r>
        <w:rPr>
          <w:rFonts w:cs="Arial" w:ascii="Arial" w:hAnsi="Arial"/>
          <w:sz w:val="26"/>
          <w:szCs w:val="26"/>
        </w:rPr>
        <w:t xml:space="preserve"> Российской Федерации, о передаче материалов в правоохранительные органы.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Не допускается включение в акт проверки: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а) указаний на предполагаемые, но не подтвержденные документально нарушения;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>б) указаний на квалификацию морально-этической стороны действий должностных лиц субъектов контроля, их поступков, намерений и целей;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>г) нарушений, установленных другими уполномоченными на осуществление контроля лицами, без проведения проверки их достоверности и документального подтверждения.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4.3. Акт проверки подписывается всеми членами инспекции и размещается контрольным органом в единой информационной системе в сфере закупок в реестре жалоб, плановых и внеплановых проверок, принятых по ним решений и выданных предписаний, в случаях, порядке и сроки, установленные Правительством Российской Федерации.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ab/>
        <w:t>Акт проверки направляется лицам, в отношении которых проведена проверка, в срок не позднее десяти рабочих дней со дня его подписания сопроводительным письмом за подписью руководителя (заместителя руководителя) контрольного органа в сфере закупок почтовым отправлением либо нарочно с отметкой о получении либо вручается лично.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 xml:space="preserve">4.4. В случае, если акт содержит признаки административного правонарушения в действиях (бездействиях) субъекта контроля, данные материалы проверки направляются в Комитет по контролю в сфере закупок Тюменской области, </w:t>
      </w:r>
      <w:r>
        <w:rPr>
          <w:rFonts w:cs="Arial" w:ascii="Arial" w:hAnsi="Arial"/>
          <w:color w:val="000000"/>
          <w:sz w:val="26"/>
          <w:szCs w:val="26"/>
        </w:rPr>
        <w:t xml:space="preserve">уполномоченный рассматривать дела об административных правонарушениях. 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bookmarkStart w:id="13" w:name="_GoBack"/>
      <w:bookmarkStart w:id="14" w:name="_GoBack"/>
      <w:bookmarkEnd w:id="14"/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center"/>
        <w:outlineLvl w:val="1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>5. Права и обязанност</w:t>
      </w:r>
      <w:r>
        <w:rPr>
          <w:rFonts w:cs="Arial" w:ascii="Arial" w:hAnsi="Arial"/>
          <w:sz w:val="26"/>
          <w:szCs w:val="26"/>
        </w:rPr>
        <w:t>и членов инспекции,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должностных лиц субъектов контроля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5.1. Члены инспекции в порядке, установленном законодательством Российской Федерации, имеют право:</w:t>
      </w:r>
    </w:p>
    <w:p>
      <w:pPr>
        <w:pStyle w:val="ConsPlusNormal1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а) запрашивать и получать на основании мотивированного запроса в письменной форме документы и информацию, необходимые для проведения проверки;</w:t>
      </w:r>
    </w:p>
    <w:p>
      <w:pPr>
        <w:pStyle w:val="Style21"/>
        <w:widowControl/>
        <w:bidi w:val="0"/>
        <w:spacing w:lineRule="atLeast" w:line="200" w:before="0" w:after="0"/>
        <w:ind w:left="0" w:right="0" w:firstLine="567"/>
        <w:jc w:val="both"/>
        <w:rPr/>
      </w:pPr>
      <w:r>
        <w:rPr>
          <w:rFonts w:ascii="Arial" w:hAnsi="Arial"/>
          <w:sz w:val="26"/>
          <w:szCs w:val="26"/>
        </w:rPr>
        <w:t>б) при осуществлении плановых и внеплановых проверок беспрепятственно по предъявлении копии распоряжения руководителя такого органа контроля о проведении проверки посещать помещения и территории, которые занимают заказчики, требовать предъявления поставленных товаров, результатов выполненных работ, оказанных услуг, а также проводить необходимые экспертизы и другие мероприятия по контролю;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>г) выдавать обязательные для исполнения Предписания.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Полученные контрольными органами в сфере закупок при осуществлении своих полномочий сведения, составляющие государственную тайну, и иная информация, доступ к которой ограничен в соответствии с федеральными законами, не подлежат разглашению, за исключением случаев, предусмотренных федеральными законами.</w:t>
      </w:r>
    </w:p>
    <w:p>
      <w:pPr>
        <w:pStyle w:val="ConsPlusNormal1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5.2. Члены инспекции обязаны:</w:t>
      </w:r>
    </w:p>
    <w:p>
      <w:pPr>
        <w:pStyle w:val="ConsPlusNormal1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>а) сообщать о конфликте интересов, который может возникнуть при выполнении обязанности по проведению проверки и связанных с проведением проверки действий;</w:t>
      </w:r>
    </w:p>
    <w:p>
      <w:pPr>
        <w:pStyle w:val="ConsPlusNormal1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 xml:space="preserve">б) своевременно и в полной мере исполнять предоставленные в соответствии с законодательством Российской Федерации о контрактной системе в сфере закупок и настоящим Порядком полномочия по предупреждению, выявлению и пресечению нарушений в установленной сфере деятельности; </w:t>
      </w:r>
    </w:p>
    <w:p>
      <w:pPr>
        <w:pStyle w:val="ConsPlusNormal1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 xml:space="preserve">в) своевременно знакомить руководителя или уполномоченное должностное лицо субъекта контроля с приказом на проведение проверки, с приказом о приостановлении, возобновлении и продлении срока проведения проверки, об изменении состава должностных лиц Контрольного органа, а также с результатами проверки; </w:t>
      </w:r>
    </w:p>
    <w:p>
      <w:pPr>
        <w:pStyle w:val="ConsPlusNormal1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>г) при выявлении факта совершения действия (бездействия), содержащего признаки состава преступления, направлять в правоохранительные органы информацию о таком факте и (или) документы, подтверждающие такой факт, в течение трех рабочих дней с даты выявления такого факта;</w:t>
      </w:r>
    </w:p>
    <w:p>
      <w:pPr>
        <w:pStyle w:val="ConsPlusNormal1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 xml:space="preserve">д) обеспечивать неразглашение информации, составляющей государственную тайну и иной информации, доступ к которой ограничен в соответствии с федеральными законами, полученной при осуществлении полномочий, связанных с проведением проверки, за исключением случаев, предусмотренных федеральными законами; </w:t>
      </w:r>
    </w:p>
    <w:p>
      <w:pPr>
        <w:pStyle w:val="ConsPlusNormal1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>е) приобщать к материалам проверки все документы, составляемые должностными лицами Комитета в ходе проверки.</w:t>
      </w:r>
    </w:p>
    <w:p>
      <w:pPr>
        <w:pStyle w:val="ConsPlusNormal1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5.3. Руководитель инспекции несет персональную ответственность за: </w:t>
      </w:r>
    </w:p>
    <w:p>
      <w:pPr>
        <w:pStyle w:val="ConsPlusNormal1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а) несоблюдение сроков подготовки документов; </w:t>
      </w:r>
    </w:p>
    <w:p>
      <w:pPr>
        <w:pStyle w:val="ConsPlusNormal1"/>
        <w:ind w:firstLine="540"/>
        <w:jc w:val="both"/>
        <w:rPr/>
      </w:pPr>
      <w:r>
        <w:rPr>
          <w:rFonts w:cs="Arial" w:ascii="Arial" w:hAnsi="Arial"/>
          <w:sz w:val="26"/>
          <w:szCs w:val="26"/>
        </w:rPr>
        <w:t xml:space="preserve">б) несоответствие подготовленных документов требованиям, установленным настоящим Порядком; </w:t>
      </w:r>
    </w:p>
    <w:p>
      <w:pPr>
        <w:pStyle w:val="ConsPlusNormal1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в) полноту и качество исполнения контрольных мероприятий; </w:t>
      </w:r>
    </w:p>
    <w:p>
      <w:pPr>
        <w:pStyle w:val="ConsPlusNormal1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г) соблюдение и исполнение требований настоящего Порядка.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5.4.  Должностные лица субъекта контроля, действия (бездействие) которых проверяются, имеют право: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а) ознакомиться с оригиналом приказа о проведении проверки; 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б) получать копию акта проверки, представлять письменные возражения по фактам, изложенным в акте проверки; 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в) обжаловать решения, акты и (или) предписания Комитета в досудебном и судебном порядке.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5.5. Во время проведения проверки субъекты контроля, действия (бездействие) которых проверяются, обязаны: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а) представлять в контрольный орган по требованию документы, объяснения в письменной форме, информацию о закупках (в том числе сведения о закупках, составляющие государственную тайну), а также давать в устной форме объяснения;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б) обеспечивать необходимые условия для работы инспекции: предоставлять помещение для работы, которое должно быть оснащено рабочим местом для письма и раскладки документов (стульями, столами), персональным компьютером с возможностью доступа к информационно-телекоммуникационной сети "Интернет", печатающим и сканирующим устройством, телефонной связью, возможностью копирования документов.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5.6. В случае, если субъект контроля не имеет возможности представить инспекции истребуемые документы (их копии) и (или) сведения в установленный срок, по письменному заявлению срок предоставления указанных документов и сведений продлевается на основании письменного решения инспекции, но не более чем на пять рабочих дней.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При невозможности представить истребуемые документы, субъект контроля обязан представить инспекции письменное объяснение с обоснованием причин невозможности их предоставления.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Направление субъектом контроля заявлений о продлении срока или объяснений о невозможности представить документы, сведения осуществляется в пределах срока, установленного в запросе инспекции.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5.7. Материалы плановых и внеплановых проверках хранятся контрольным органом не менее чем три года.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6. Согласование возможности заключения (заключения) контракта с единственным поставщиком (исполнителем, подрядчиком)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Согласование возможности заключения (заключения) контракта с единственным поставщиком (исполнителем, подрядчиком) производится в соответствии с положениями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 и положениями Приказа Минэкономразвития РФ от 31 марта 2015 года № 189 «Об утверждении порядка согласования применения закрытых способов определения поставщиков (подрядчиков, исполнителей), возможности заключения (заключения) контракта с единственным поставщиком (подрядчиком, исполнителем)».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1"/>
        <w:rPr>
          <w:rFonts w:ascii="Arial" w:hAnsi="Arial" w:cs="Arial"/>
          <w:sz w:val="26"/>
          <w:szCs w:val="26"/>
        </w:rPr>
      </w:pPr>
      <w:bookmarkStart w:id="15" w:name="Par239"/>
      <w:bookmarkStart w:id="16" w:name="Par239"/>
      <w:bookmarkEnd w:id="16"/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1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1"/>
        <w:rPr>
          <w:rFonts w:ascii="Arial" w:hAnsi="Arial" w:cs="Arial"/>
          <w:sz w:val="26"/>
          <w:szCs w:val="26"/>
          <w:lang w:val="en-US"/>
        </w:rPr>
      </w:pPr>
      <w:r>
        <w:rPr>
          <w:rFonts w:cs="Arial" w:ascii="Arial" w:hAnsi="Arial"/>
          <w:sz w:val="26"/>
          <w:szCs w:val="26"/>
          <w:lang w:val="en-US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1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1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1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1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1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1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1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1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1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1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1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1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1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1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1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sectPr>
          <w:type w:val="nextPage"/>
          <w:pgSz w:w="11906" w:h="16838"/>
          <w:pgMar w:left="1701" w:right="567" w:header="0" w:top="1134" w:footer="0" w:bottom="1276" w:gutter="0"/>
          <w:pgNumType w:fmt="decimal"/>
          <w:formProt w:val="false"/>
          <w:textDirection w:val="lrTb"/>
          <w:docGrid w:type="default" w:linePitch="299" w:charSpace="4294965247"/>
        </w:sect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1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sectPr>
          <w:type w:val="nextPage"/>
          <w:pgSz w:orient="landscape" w:w="16838" w:h="11906"/>
          <w:pgMar w:left="709" w:right="851" w:header="0" w:top="426" w:footer="0" w:bottom="426" w:gutter="0"/>
          <w:pgNumType w:fmt="decimal"/>
          <w:formProt w:val="false"/>
          <w:textDirection w:val="lrTb"/>
          <w:docGrid w:type="default" w:linePitch="312" w:charSpace="4294965247"/>
        </w:sectPr>
      </w:pPr>
    </w:p>
    <w:p>
      <w:pPr>
        <w:pStyle w:val="Normal"/>
        <w:widowControl w:val="false"/>
        <w:spacing w:lineRule="auto" w:line="240" w:before="0" w:after="0"/>
        <w:jc w:val="right"/>
        <w:rPr/>
      </w:pPr>
      <w:r>
        <w:rPr>
          <w:rFonts w:cs="Arial" w:ascii="Arial" w:hAnsi="Arial"/>
          <w:sz w:val="26"/>
          <w:szCs w:val="26"/>
        </w:rPr>
        <w:t>Приложение к Порядку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БЛОК-СХЕМА</w:t>
      </w:r>
    </w:p>
    <w:p>
      <w:pPr>
        <w:pStyle w:val="Normal"/>
        <w:widowControl w:val="false"/>
        <w:spacing w:lineRule="auto" w:line="240" w:before="0" w:after="0"/>
        <w:jc w:val="center"/>
        <w:rPr/>
      </w:pPr>
      <w:r>
        <w:rPr>
          <w:rFonts w:cs="Arial" w:ascii="Arial" w:hAnsi="Arial"/>
          <w:b/>
          <w:bCs/>
        </w:rPr>
        <w:t>осуществления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Уватского муниципального района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column">
                  <wp:posOffset>32385</wp:posOffset>
                </wp:positionH>
                <wp:positionV relativeFrom="paragraph">
                  <wp:posOffset>78105</wp:posOffset>
                </wp:positionV>
                <wp:extent cx="4817110" cy="220345"/>
                <wp:effectExtent l="0" t="0" r="0" b="0"/>
                <wp:wrapSquare wrapText="bothSides"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6440" cy="21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7"/>
                              <w:spacing w:lineRule="auto" w:line="240" w:before="0" w:after="200"/>
                              <w:contextualSpacing/>
                              <w:jc w:val="center"/>
                              <w:rPr/>
                            </w:pPr>
                            <w:r>
                              <w:rPr>
                                <w:color w:val="00000A"/>
                                <w:sz w:val="18"/>
                                <w:szCs w:val="18"/>
                              </w:rPr>
                              <w:t>Плановая проверка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style="position:absolute;margin-left:2.55pt;margin-top:6.15pt;width:379.2pt;height:17.25pt">
                <w10:wrap type="square"/>
                <v:fill o:detectmouseclick="t" type="solid" color2="black"/>
                <v:stroke color="black" weight="720" joinstyle="round" endcap="flat"/>
                <v:textbox>
                  <w:txbxContent>
                    <w:p>
                      <w:pPr>
                        <w:pStyle w:val="Style27"/>
                        <w:spacing w:lineRule="auto" w:line="240" w:before="0" w:after="200"/>
                        <w:contextualSpacing/>
                        <w:jc w:val="center"/>
                        <w:rPr/>
                      </w:pPr>
                      <w:r>
                        <w:rPr>
                          <w:color w:val="00000A"/>
                          <w:sz w:val="18"/>
                          <w:szCs w:val="18"/>
                        </w:rPr>
                        <w:t>Плановая проверка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">
                <wp:simplePos x="0" y="0"/>
                <wp:positionH relativeFrom="column">
                  <wp:posOffset>5290185</wp:posOffset>
                </wp:positionH>
                <wp:positionV relativeFrom="paragraph">
                  <wp:posOffset>60960</wp:posOffset>
                </wp:positionV>
                <wp:extent cx="4340860" cy="220345"/>
                <wp:effectExtent l="0" t="0" r="0" b="0"/>
                <wp:wrapSquare wrapText="bothSides"/>
                <wp:docPr id="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0160" cy="21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7"/>
                              <w:spacing w:lineRule="auto" w:line="240" w:before="0" w:after="200"/>
                              <w:contextualSpacing/>
                              <w:jc w:val="center"/>
                              <w:rPr/>
                            </w:pPr>
                            <w:r>
                              <w:rPr>
                                <w:color w:val="00000A"/>
                                <w:sz w:val="18"/>
                                <w:szCs w:val="18"/>
                              </w:rPr>
                              <w:t>Внеплановая проверка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style="position:absolute;margin-left:416.55pt;margin-top:4.8pt;width:341.7pt;height:17.25pt">
                <w10:wrap type="square"/>
                <v:fill o:detectmouseclick="t" type="solid" color2="black"/>
                <v:stroke color="black" weight="720" joinstyle="round" endcap="flat"/>
                <v:textbox>
                  <w:txbxContent>
                    <w:p>
                      <w:pPr>
                        <w:pStyle w:val="Style27"/>
                        <w:spacing w:lineRule="auto" w:line="240" w:before="0" w:after="200"/>
                        <w:contextualSpacing/>
                        <w:jc w:val="center"/>
                        <w:rPr/>
                      </w:pPr>
                      <w:r>
                        <w:rPr>
                          <w:color w:val="00000A"/>
                          <w:sz w:val="18"/>
                          <w:szCs w:val="18"/>
                        </w:rPr>
                        <w:t>Внеплановая проверка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">
                <wp:simplePos x="0" y="0"/>
                <wp:positionH relativeFrom="column">
                  <wp:posOffset>32385</wp:posOffset>
                </wp:positionH>
                <wp:positionV relativeFrom="paragraph">
                  <wp:posOffset>294005</wp:posOffset>
                </wp:positionV>
                <wp:extent cx="4817110" cy="312420"/>
                <wp:effectExtent l="0" t="0" r="0" b="0"/>
                <wp:wrapSquare wrapText="bothSides"/>
                <wp:docPr id="6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6440" cy="31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7"/>
                              <w:spacing w:lineRule="auto" w:line="240" w:before="0" w:after="200"/>
                              <w:contextualSpacing/>
                              <w:jc w:val="center"/>
                              <w:rPr/>
                            </w:pPr>
                            <w:r>
                              <w:rPr>
                                <w:color w:val="00000A"/>
                                <w:sz w:val="18"/>
                                <w:szCs w:val="18"/>
                              </w:rPr>
                              <w:t>Основание: План проверок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style="position:absolute;margin-left:2.55pt;margin-top:23.15pt;width:379.2pt;height:24.5pt">
                <w10:wrap type="square"/>
                <v:fill o:detectmouseclick="t" type="solid" color2="black"/>
                <v:stroke color="black" weight="720" joinstyle="round" endcap="flat"/>
                <v:textbox>
                  <w:txbxContent>
                    <w:p>
                      <w:pPr>
                        <w:pStyle w:val="Style27"/>
                        <w:spacing w:lineRule="auto" w:line="240" w:before="0" w:after="200"/>
                        <w:contextualSpacing/>
                        <w:jc w:val="center"/>
                        <w:rPr/>
                      </w:pPr>
                      <w:r>
                        <w:rPr>
                          <w:color w:val="00000A"/>
                          <w:sz w:val="18"/>
                          <w:szCs w:val="18"/>
                        </w:rPr>
                        <w:t>Основание: План проверок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mc:AlternateContent>
          <mc:Choice Requires="wps">
            <w:drawing>
              <wp:anchor behindDoc="0" distT="0" distB="0" distL="114300" distR="114300" simplePos="0" locked="0" layoutInCell="1" allowOverlap="1" relativeHeight="5">
                <wp:simplePos x="0" y="0"/>
                <wp:positionH relativeFrom="column">
                  <wp:posOffset>328930</wp:posOffset>
                </wp:positionH>
                <wp:positionV relativeFrom="paragraph">
                  <wp:posOffset>116840</wp:posOffset>
                </wp:positionV>
                <wp:extent cx="4340860" cy="788670"/>
                <wp:effectExtent l="0" t="0" r="0" b="0"/>
                <wp:wrapSquare wrapText="bothSides"/>
                <wp:docPr id="8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0160" cy="788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7"/>
                              <w:spacing w:lineRule="auto" w:line="240" w:before="0" w:after="200"/>
                              <w:contextualSpacing/>
                              <w:jc w:val="center"/>
                              <w:rPr>
                                <w:color w:val="00000A"/>
                              </w:rPr>
                            </w:pPr>
                            <w:r>
                              <w:rPr>
                                <w:color w:val="00000A"/>
                                <w:sz w:val="18"/>
                                <w:szCs w:val="18"/>
                              </w:rPr>
                              <w:t>Основания:</w:t>
                            </w:r>
                          </w:p>
                          <w:p>
                            <w:pPr>
                              <w:pStyle w:val="Style27"/>
                              <w:spacing w:lineRule="auto" w:line="240" w:before="0" w:after="200"/>
                              <w:contextualSpacing/>
                              <w:jc w:val="center"/>
                              <w:rPr>
                                <w:color w:val="00000A"/>
                              </w:rPr>
                            </w:pPr>
                            <w:r>
                              <w:rPr>
                                <w:color w:val="00000A"/>
                                <w:sz w:val="18"/>
                                <w:szCs w:val="18"/>
                              </w:rPr>
                              <w:t>- информация о нарушении законодательства в сфере закупок;</w:t>
                            </w:r>
                          </w:p>
                          <w:p>
                            <w:pPr>
                              <w:pStyle w:val="Style27"/>
                              <w:spacing w:lineRule="auto" w:line="240" w:before="0" w:after="200"/>
                              <w:contextualSpacing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A"/>
                                <w:sz w:val="18"/>
                                <w:szCs w:val="18"/>
                              </w:rPr>
                              <w:t>- обращение, жалоба участника закупки либо осуществляющих общественный контроль общественного объединения или объединения юридических лиц;</w:t>
                            </w:r>
                          </w:p>
                          <w:p>
                            <w:pPr>
                              <w:pStyle w:val="Style27"/>
                              <w:spacing w:lineRule="auto" w:line="240" w:before="0" w:after="200"/>
                              <w:contextualSpacing/>
                              <w:jc w:val="center"/>
                              <w:rPr/>
                            </w:pPr>
                            <w:r>
                              <w:rPr>
                                <w:rFonts w:cs="Arial" w:ascii="Arial" w:hAnsi="Arial"/>
                                <w:color w:val="00000A"/>
                                <w:sz w:val="16"/>
                                <w:szCs w:val="16"/>
                              </w:rPr>
                              <w:t>- истечение срока исполнения ранее выданного Предписания.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style="position:absolute;margin-left:25.9pt;margin-top:9.2pt;width:341.7pt;height:62pt">
                <w10:wrap type="square"/>
                <v:fill o:detectmouseclick="t" type="solid" color2="black"/>
                <v:stroke color="black" weight="720" joinstyle="round" endcap="flat"/>
                <v:textbox>
                  <w:txbxContent>
                    <w:p>
                      <w:pPr>
                        <w:pStyle w:val="Style27"/>
                        <w:spacing w:lineRule="auto" w:line="240" w:before="0" w:after="200"/>
                        <w:contextualSpacing/>
                        <w:jc w:val="center"/>
                        <w:rPr>
                          <w:color w:val="00000A"/>
                        </w:rPr>
                      </w:pPr>
                      <w:r>
                        <w:rPr>
                          <w:color w:val="00000A"/>
                          <w:sz w:val="18"/>
                          <w:szCs w:val="18"/>
                        </w:rPr>
                        <w:t>Основания:</w:t>
                      </w:r>
                    </w:p>
                    <w:p>
                      <w:pPr>
                        <w:pStyle w:val="Style27"/>
                        <w:spacing w:lineRule="auto" w:line="240" w:before="0" w:after="200"/>
                        <w:contextualSpacing/>
                        <w:jc w:val="center"/>
                        <w:rPr>
                          <w:color w:val="00000A"/>
                        </w:rPr>
                      </w:pPr>
                      <w:r>
                        <w:rPr>
                          <w:color w:val="00000A"/>
                          <w:sz w:val="18"/>
                          <w:szCs w:val="18"/>
                        </w:rPr>
                        <w:t>- информация о нарушении законодательства в сфере закупок;</w:t>
                      </w:r>
                    </w:p>
                    <w:p>
                      <w:pPr>
                        <w:pStyle w:val="Style27"/>
                        <w:spacing w:lineRule="auto" w:line="240" w:before="0" w:after="200"/>
                        <w:contextualSpacing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color w:val="00000A"/>
                          <w:sz w:val="18"/>
                          <w:szCs w:val="18"/>
                        </w:rPr>
                        <w:t>- обращение, жалоба участника закупки либо осуществляющих общественный контроль общественного объединения или объединения юридических лиц;</w:t>
                      </w:r>
                    </w:p>
                    <w:p>
                      <w:pPr>
                        <w:pStyle w:val="Style27"/>
                        <w:spacing w:lineRule="auto" w:line="240" w:before="0" w:after="200"/>
                        <w:contextualSpacing/>
                        <w:jc w:val="center"/>
                        <w:rPr/>
                      </w:pPr>
                      <w:r>
                        <w:rPr>
                          <w:rFonts w:cs="Arial" w:ascii="Arial" w:hAnsi="Arial"/>
                          <w:color w:val="00000A"/>
                          <w:sz w:val="16"/>
                          <w:szCs w:val="16"/>
                        </w:rPr>
                        <w:t>- истечение срока исполнения ранее выданного Предписания.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mc:AlternateContent>
          <mc:Choice Requires="wps">
            <w:drawing>
              <wp:anchor behindDoc="0" distT="0" distB="0" distL="0" distR="0" simplePos="0" locked="0" layoutInCell="1" allowOverlap="1" relativeHeight="17">
                <wp:simplePos x="0" y="0"/>
                <wp:positionH relativeFrom="column">
                  <wp:posOffset>-2538730</wp:posOffset>
                </wp:positionH>
                <wp:positionV relativeFrom="paragraph">
                  <wp:posOffset>119380</wp:posOffset>
                </wp:positionV>
                <wp:extent cx="189230" cy="205740"/>
                <wp:effectExtent l="0" t="0" r="0" b="0"/>
                <wp:wrapNone/>
                <wp:docPr id="10" name="Фигур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640" cy="2052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92" h="318">
                              <a:moveTo>
                                <a:pt x="72" y="0"/>
                              </a:moveTo>
                              <a:lnTo>
                                <a:pt x="72" y="237"/>
                              </a:lnTo>
                              <a:lnTo>
                                <a:pt x="0" y="237"/>
                              </a:lnTo>
                              <a:lnTo>
                                <a:pt x="145" y="317"/>
                              </a:lnTo>
                              <a:lnTo>
                                <a:pt x="291" y="237"/>
                              </a:lnTo>
                              <a:lnTo>
                                <a:pt x="218" y="237"/>
                              </a:lnTo>
                              <a:lnTo>
                                <a:pt x="218" y="0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solidFill>
                            <a:srgbClr val="3465a4"/>
                          </a:solidFill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mc:AlternateContent>
          <mc:Choice Requires="wps">
            <w:drawing>
              <wp:anchor behindDoc="0" distT="0" distB="0" distL="114300" distR="114300" simplePos="0" locked="0" layoutInCell="1" allowOverlap="1" relativeHeight="6">
                <wp:simplePos x="0" y="0"/>
                <wp:positionH relativeFrom="column">
                  <wp:posOffset>22860</wp:posOffset>
                </wp:positionH>
                <wp:positionV relativeFrom="paragraph">
                  <wp:posOffset>159385</wp:posOffset>
                </wp:positionV>
                <wp:extent cx="4817110" cy="423545"/>
                <wp:effectExtent l="0" t="0" r="0" b="0"/>
                <wp:wrapSquare wrapText="bothSides"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6440" cy="42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7"/>
                              <w:spacing w:lineRule="auto" w:line="240" w:before="0" w:after="200"/>
                              <w:contextualSpacing/>
                              <w:jc w:val="center"/>
                              <w:rPr/>
                            </w:pPr>
                            <w:r>
                              <w:rPr>
                                <w:color w:val="00000A"/>
                                <w:sz w:val="18"/>
                                <w:szCs w:val="18"/>
                              </w:rPr>
                              <w:t>Подготовка Распоряжения о проведении плановой проверки и Уведомления о проведении проверки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style="position:absolute;margin-left:1.8pt;margin-top:12.55pt;width:379.2pt;height:33.25pt">
                <w10:wrap type="square"/>
                <v:fill o:detectmouseclick="t" type="solid" color2="black"/>
                <v:stroke color="black" weight="720" joinstyle="round" endcap="flat"/>
                <v:textbox>
                  <w:txbxContent>
                    <w:p>
                      <w:pPr>
                        <w:pStyle w:val="Style27"/>
                        <w:spacing w:lineRule="auto" w:line="240" w:before="0" w:after="200"/>
                        <w:contextualSpacing/>
                        <w:jc w:val="center"/>
                        <w:rPr/>
                      </w:pPr>
                      <w:r>
                        <w:rPr>
                          <w:color w:val="00000A"/>
                          <w:sz w:val="18"/>
                          <w:szCs w:val="18"/>
                        </w:rPr>
                        <w:t>Подготовка Распоряжения о проведении плановой проверки и Уведомления о проведении проверки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mc:AlternateContent>
          <mc:Choice Requires="wps">
            <w:drawing>
              <wp:anchor behindDoc="0" distT="0" distB="0" distL="0" distR="0" simplePos="0" locked="0" layoutInCell="1" allowOverlap="1" relativeHeight="21">
                <wp:simplePos x="0" y="0"/>
                <wp:positionH relativeFrom="column">
                  <wp:posOffset>2547620</wp:posOffset>
                </wp:positionH>
                <wp:positionV relativeFrom="paragraph">
                  <wp:posOffset>113665</wp:posOffset>
                </wp:positionV>
                <wp:extent cx="189230" cy="205740"/>
                <wp:effectExtent l="0" t="0" r="0" b="0"/>
                <wp:wrapNone/>
                <wp:docPr id="13" name="Фигур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640" cy="2052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92" h="318">
                              <a:moveTo>
                                <a:pt x="72" y="0"/>
                              </a:moveTo>
                              <a:lnTo>
                                <a:pt x="72" y="237"/>
                              </a:lnTo>
                              <a:lnTo>
                                <a:pt x="0" y="237"/>
                              </a:lnTo>
                              <a:lnTo>
                                <a:pt x="145" y="317"/>
                              </a:lnTo>
                              <a:lnTo>
                                <a:pt x="291" y="237"/>
                              </a:lnTo>
                              <a:lnTo>
                                <a:pt x="218" y="237"/>
                              </a:lnTo>
                              <a:lnTo>
                                <a:pt x="218" y="0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solidFill>
                            <a:srgbClr val="3465a4"/>
                          </a:solidFill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mc:AlternateContent>
          <mc:Choice Requires="wps">
            <w:drawing>
              <wp:anchor behindDoc="0" distT="0" distB="0" distL="0" distR="0" simplePos="0" locked="0" layoutInCell="1" allowOverlap="1" relativeHeight="18">
                <wp:simplePos x="0" y="0"/>
                <wp:positionH relativeFrom="column">
                  <wp:posOffset>-2533015</wp:posOffset>
                </wp:positionH>
                <wp:positionV relativeFrom="paragraph">
                  <wp:posOffset>95885</wp:posOffset>
                </wp:positionV>
                <wp:extent cx="189230" cy="259080"/>
                <wp:effectExtent l="0" t="0" r="0" b="0"/>
                <wp:wrapNone/>
                <wp:docPr id="14" name="Фигур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640" cy="2584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92" h="402">
                              <a:moveTo>
                                <a:pt x="72" y="0"/>
                              </a:moveTo>
                              <a:lnTo>
                                <a:pt x="72" y="300"/>
                              </a:lnTo>
                              <a:lnTo>
                                <a:pt x="0" y="300"/>
                              </a:lnTo>
                              <a:lnTo>
                                <a:pt x="145" y="401"/>
                              </a:lnTo>
                              <a:lnTo>
                                <a:pt x="291" y="300"/>
                              </a:lnTo>
                              <a:lnTo>
                                <a:pt x="218" y="300"/>
                              </a:lnTo>
                              <a:lnTo>
                                <a:pt x="218" y="0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solidFill>
                            <a:srgbClr val="3465a4"/>
                          </a:solidFill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mc:AlternateContent>
          <mc:Choice Requires="wps">
            <w:drawing>
              <wp:anchor behindDoc="0" distT="0" distB="0" distL="114300" distR="114300" simplePos="0" locked="0" layoutInCell="1" allowOverlap="1" relativeHeight="8">
                <wp:simplePos x="0" y="0"/>
                <wp:positionH relativeFrom="column">
                  <wp:posOffset>5190490</wp:posOffset>
                </wp:positionH>
                <wp:positionV relativeFrom="paragraph">
                  <wp:posOffset>6985</wp:posOffset>
                </wp:positionV>
                <wp:extent cx="4340860" cy="273685"/>
                <wp:effectExtent l="0" t="0" r="0" b="0"/>
                <wp:wrapSquare wrapText="bothSides"/>
                <wp:docPr id="15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0160" cy="27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7"/>
                              <w:spacing w:lineRule="auto" w:line="240" w:before="0" w:after="200"/>
                              <w:contextualSpacing/>
                              <w:jc w:val="center"/>
                              <w:rPr/>
                            </w:pPr>
                            <w:r>
                              <w:rPr>
                                <w:color w:val="00000A"/>
                                <w:sz w:val="18"/>
                                <w:szCs w:val="18"/>
                              </w:rPr>
                              <w:t>Подготовка Распоряжения о проведении внеплановой проверки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fillcolor="white" stroked="t" style="position:absolute;margin-left:408.7pt;margin-top:0.55pt;width:341.7pt;height:21.45pt">
                <w10:wrap type="square"/>
                <v:fill o:detectmouseclick="t" type="solid" color2="black"/>
                <v:stroke color="black" weight="720" joinstyle="round" endcap="flat"/>
                <v:textbox>
                  <w:txbxContent>
                    <w:p>
                      <w:pPr>
                        <w:pStyle w:val="Style27"/>
                        <w:spacing w:lineRule="auto" w:line="240" w:before="0" w:after="200"/>
                        <w:contextualSpacing/>
                        <w:jc w:val="center"/>
                        <w:rPr/>
                      </w:pPr>
                      <w:r>
                        <w:rPr>
                          <w:color w:val="00000A"/>
                          <w:sz w:val="18"/>
                          <w:szCs w:val="18"/>
                        </w:rPr>
                        <w:t>Подготовка Распоряжения о проведении внеплановой проверки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mc:AlternateContent>
          <mc:Choice Requires="wps">
            <w:drawing>
              <wp:anchor behindDoc="0" distT="0" distB="0" distL="114300" distR="114300" simplePos="0" locked="0" layoutInCell="1" allowOverlap="1" relativeHeight="7">
                <wp:simplePos x="0" y="0"/>
                <wp:positionH relativeFrom="column">
                  <wp:posOffset>41910</wp:posOffset>
                </wp:positionH>
                <wp:positionV relativeFrom="paragraph">
                  <wp:posOffset>28575</wp:posOffset>
                </wp:positionV>
                <wp:extent cx="4817110" cy="566420"/>
                <wp:effectExtent l="0" t="0" r="0" b="0"/>
                <wp:wrapSquare wrapText="bothSides"/>
                <wp:docPr id="1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6440" cy="56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7"/>
                              <w:spacing w:lineRule="auto" w:line="240" w:before="0" w:after="200"/>
                              <w:contextualSpacing/>
                              <w:jc w:val="center"/>
                              <w:rPr/>
                            </w:pPr>
                            <w:r>
                              <w:rPr>
                                <w:color w:val="00000A"/>
                                <w:sz w:val="18"/>
                                <w:szCs w:val="18"/>
                              </w:rPr>
                              <w:t>Направление субъекту контроля Уведомления о проведении проверки (кроме комиссий по осуществлению закупок, специализированных организаций при их проверке как отдельного субъекта контроля)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style="position:absolute;margin-left:3.3pt;margin-top:2.25pt;width:379.2pt;height:44.5pt">
                <w10:wrap type="square"/>
                <v:fill o:detectmouseclick="t" type="solid" color2="black"/>
                <v:stroke color="black" weight="720" joinstyle="round" endcap="flat"/>
                <v:textbox>
                  <w:txbxContent>
                    <w:p>
                      <w:pPr>
                        <w:pStyle w:val="Style27"/>
                        <w:spacing w:lineRule="auto" w:line="240" w:before="0" w:after="200"/>
                        <w:contextualSpacing/>
                        <w:jc w:val="center"/>
                        <w:rPr/>
                      </w:pPr>
                      <w:r>
                        <w:rPr>
                          <w:color w:val="00000A"/>
                          <w:sz w:val="18"/>
                          <w:szCs w:val="18"/>
                        </w:rPr>
                        <w:t>Направление субъекту контроля Уведомления о проведении проверки (кроме комиссий по осуществлению закупок, специализированных организаций при их проверке как отдельного субъекта контроля)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22">
                <wp:simplePos x="0" y="0"/>
                <wp:positionH relativeFrom="column">
                  <wp:posOffset>2576195</wp:posOffset>
                </wp:positionH>
                <wp:positionV relativeFrom="paragraph">
                  <wp:posOffset>114935</wp:posOffset>
                </wp:positionV>
                <wp:extent cx="189230" cy="205740"/>
                <wp:effectExtent l="0" t="0" r="0" b="0"/>
                <wp:wrapNone/>
                <wp:docPr id="19" name="Фигур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640" cy="2052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92" h="318">
                              <a:moveTo>
                                <a:pt x="72" y="0"/>
                              </a:moveTo>
                              <a:lnTo>
                                <a:pt x="72" y="237"/>
                              </a:lnTo>
                              <a:lnTo>
                                <a:pt x="0" y="237"/>
                              </a:lnTo>
                              <a:lnTo>
                                <a:pt x="145" y="317"/>
                              </a:lnTo>
                              <a:lnTo>
                                <a:pt x="291" y="237"/>
                              </a:lnTo>
                              <a:lnTo>
                                <a:pt x="218" y="237"/>
                              </a:lnTo>
                              <a:lnTo>
                                <a:pt x="218" y="0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solidFill>
                            <a:srgbClr val="3465a4"/>
                          </a:solidFill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mc:AlternateContent>
          <mc:Choice Requires="wps">
            <w:drawing>
              <wp:anchor behindDoc="0" distT="0" distB="0" distL="114300" distR="114300" simplePos="0" locked="0" layoutInCell="1" allowOverlap="1" relativeHeight="9">
                <wp:simplePos x="0" y="0"/>
                <wp:positionH relativeFrom="column">
                  <wp:posOffset>238760</wp:posOffset>
                </wp:positionH>
                <wp:positionV relativeFrom="paragraph">
                  <wp:posOffset>134620</wp:posOffset>
                </wp:positionV>
                <wp:extent cx="4364990" cy="299720"/>
                <wp:effectExtent l="0" t="0" r="0" b="0"/>
                <wp:wrapSquare wrapText="bothSides"/>
                <wp:docPr id="20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4280" cy="29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7"/>
                              <w:spacing w:lineRule="auto" w:line="240" w:before="0" w:after="200"/>
                              <w:contextualSpacing/>
                              <w:jc w:val="center"/>
                              <w:rPr/>
                            </w:pPr>
                            <w:r>
                              <w:rPr>
                                <w:color w:val="00000A"/>
                                <w:sz w:val="18"/>
                                <w:szCs w:val="18"/>
                              </w:rPr>
                              <w:t>Проведение внеплановой проверки субъекта контроля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style="position:absolute;margin-left:18.8pt;margin-top:10.6pt;width:343.6pt;height:23.5pt">
                <w10:wrap type="square"/>
                <v:fill o:detectmouseclick="t" type="solid" color2="black"/>
                <v:stroke color="black" weight="720" joinstyle="round" endcap="flat"/>
                <v:textbox>
                  <w:txbxContent>
                    <w:p>
                      <w:pPr>
                        <w:pStyle w:val="Style27"/>
                        <w:spacing w:lineRule="auto" w:line="240" w:before="0" w:after="200"/>
                        <w:contextualSpacing/>
                        <w:jc w:val="center"/>
                        <w:rPr/>
                      </w:pPr>
                      <w:r>
                        <w:rPr>
                          <w:color w:val="00000A"/>
                          <w:sz w:val="18"/>
                          <w:szCs w:val="18"/>
                        </w:rPr>
                        <w:t>Проведение внеплановой проверки субъекта контроля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mc:AlternateContent>
          <mc:Choice Requires="wps">
            <w:drawing>
              <wp:anchor behindDoc="0" distT="0" distB="0" distL="0" distR="0" simplePos="0" locked="0" layoutInCell="1" allowOverlap="1" relativeHeight="19">
                <wp:simplePos x="0" y="0"/>
                <wp:positionH relativeFrom="column">
                  <wp:posOffset>-2561590</wp:posOffset>
                </wp:positionH>
                <wp:positionV relativeFrom="paragraph">
                  <wp:posOffset>107950</wp:posOffset>
                </wp:positionV>
                <wp:extent cx="189230" cy="205740"/>
                <wp:effectExtent l="0" t="0" r="0" b="0"/>
                <wp:wrapNone/>
                <wp:docPr id="22" name="Фигур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640" cy="2052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92" h="318">
                              <a:moveTo>
                                <a:pt x="72" y="0"/>
                              </a:moveTo>
                              <a:lnTo>
                                <a:pt x="72" y="237"/>
                              </a:lnTo>
                              <a:lnTo>
                                <a:pt x="0" y="237"/>
                              </a:lnTo>
                              <a:lnTo>
                                <a:pt x="145" y="317"/>
                              </a:lnTo>
                              <a:lnTo>
                                <a:pt x="291" y="237"/>
                              </a:lnTo>
                              <a:lnTo>
                                <a:pt x="218" y="237"/>
                              </a:lnTo>
                              <a:lnTo>
                                <a:pt x="218" y="0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solidFill>
                            <a:srgbClr val="3465a4"/>
                          </a:solidFill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23">
                <wp:simplePos x="0" y="0"/>
                <wp:positionH relativeFrom="column">
                  <wp:posOffset>1153160</wp:posOffset>
                </wp:positionH>
                <wp:positionV relativeFrom="paragraph">
                  <wp:posOffset>107950</wp:posOffset>
                </wp:positionV>
                <wp:extent cx="189230" cy="1391285"/>
                <wp:effectExtent l="0" t="0" r="0" b="0"/>
                <wp:wrapNone/>
                <wp:docPr id="23" name="Фигур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640" cy="13906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92" h="2185">
                              <a:moveTo>
                                <a:pt x="72" y="0"/>
                              </a:moveTo>
                              <a:lnTo>
                                <a:pt x="72" y="1638"/>
                              </a:lnTo>
                              <a:lnTo>
                                <a:pt x="0" y="1638"/>
                              </a:lnTo>
                              <a:lnTo>
                                <a:pt x="145" y="2184"/>
                              </a:lnTo>
                              <a:lnTo>
                                <a:pt x="291" y="1638"/>
                              </a:lnTo>
                              <a:lnTo>
                                <a:pt x="218" y="1638"/>
                              </a:lnTo>
                              <a:lnTo>
                                <a:pt x="218" y="0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solidFill>
                            <a:srgbClr val="3465a4"/>
                          </a:solidFill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mc:AlternateContent>
          <mc:Choice Requires="wps">
            <w:drawing>
              <wp:anchor behindDoc="0" distT="0" distB="0" distL="114300" distR="114300" simplePos="0" locked="0" layoutInCell="1" allowOverlap="1" relativeHeight="10">
                <wp:simplePos x="0" y="0"/>
                <wp:positionH relativeFrom="column">
                  <wp:posOffset>13335</wp:posOffset>
                </wp:positionH>
                <wp:positionV relativeFrom="paragraph">
                  <wp:posOffset>14605</wp:posOffset>
                </wp:positionV>
                <wp:extent cx="4817110" cy="330200"/>
                <wp:effectExtent l="0" t="0" r="0" b="0"/>
                <wp:wrapSquare wrapText="bothSides"/>
                <wp:docPr id="2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6440" cy="32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7"/>
                              <w:spacing w:lineRule="auto" w:line="240" w:before="0" w:after="200"/>
                              <w:contextualSpacing/>
                              <w:jc w:val="center"/>
                              <w:rPr/>
                            </w:pPr>
                            <w:r>
                              <w:rPr>
                                <w:color w:val="00000A"/>
                                <w:sz w:val="18"/>
                                <w:szCs w:val="18"/>
                              </w:rPr>
                              <w:t>Проведение плановой проверки субъекта контроля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style="position:absolute;margin-left:1.05pt;margin-top:1.15pt;width:379.2pt;height:25.9pt">
                <w10:wrap type="square"/>
                <v:fill o:detectmouseclick="t" type="solid" color2="black"/>
                <v:stroke color="black" weight="720" joinstyle="round" endcap="flat"/>
                <v:textbox>
                  <w:txbxContent>
                    <w:p>
                      <w:pPr>
                        <w:pStyle w:val="Style27"/>
                        <w:spacing w:lineRule="auto" w:line="240" w:before="0" w:after="200"/>
                        <w:contextualSpacing/>
                        <w:jc w:val="center"/>
                        <w:rPr/>
                      </w:pPr>
                      <w:r>
                        <w:rPr>
                          <w:color w:val="00000A"/>
                          <w:sz w:val="18"/>
                          <w:szCs w:val="18"/>
                        </w:rPr>
                        <w:t>Проведение плановой проверки субъекта контроля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mc:AlternateContent>
          <mc:Choice Requires="wps">
            <w:drawing>
              <wp:anchor behindDoc="0" distT="0" distB="0" distL="114300" distR="114300" simplePos="0" locked="0" layoutInCell="1" allowOverlap="1" relativeHeight="11">
                <wp:simplePos x="0" y="0"/>
                <wp:positionH relativeFrom="column">
                  <wp:posOffset>-4961890</wp:posOffset>
                </wp:positionH>
                <wp:positionV relativeFrom="paragraph">
                  <wp:posOffset>18415</wp:posOffset>
                </wp:positionV>
                <wp:extent cx="2281555" cy="622935"/>
                <wp:effectExtent l="0" t="0" r="0" b="0"/>
                <wp:wrapSquare wrapText="bothSides"/>
                <wp:docPr id="26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0960" cy="62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7"/>
                              <w:spacing w:lineRule="auto" w:line="240" w:before="0" w:after="200"/>
                              <w:contextualSpacing/>
                              <w:jc w:val="center"/>
                              <w:rPr/>
                            </w:pPr>
                            <w:r>
                              <w:rPr>
                                <w:color w:val="00000A"/>
                                <w:sz w:val="18"/>
                                <w:szCs w:val="18"/>
                              </w:rPr>
                              <w:t>1 этап – проверка процедур закупок, находящихся в стадии определения поставщика (исполнителя, подрядчика)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style="position:absolute;margin-left:-390.7pt;margin-top:1.45pt;width:179.55pt;height:48.95pt">
                <w10:wrap type="square"/>
                <v:fill o:detectmouseclick="t" type="solid" color2="black"/>
                <v:stroke color="black" weight="720" joinstyle="round" endcap="flat"/>
                <v:textbox>
                  <w:txbxContent>
                    <w:p>
                      <w:pPr>
                        <w:pStyle w:val="Style27"/>
                        <w:spacing w:lineRule="auto" w:line="240" w:before="0" w:after="200"/>
                        <w:contextualSpacing/>
                        <w:jc w:val="center"/>
                        <w:rPr/>
                      </w:pPr>
                      <w:r>
                        <w:rPr>
                          <w:color w:val="00000A"/>
                          <w:sz w:val="18"/>
                          <w:szCs w:val="18"/>
                        </w:rPr>
                        <w:t>1 этап – проверка процедур закупок, находящихся в стадии определения поставщика (исполнителя, подрядчика)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2">
                <wp:simplePos x="0" y="0"/>
                <wp:positionH relativeFrom="column">
                  <wp:posOffset>-2685415</wp:posOffset>
                </wp:positionH>
                <wp:positionV relativeFrom="paragraph">
                  <wp:posOffset>18415</wp:posOffset>
                </wp:positionV>
                <wp:extent cx="2555240" cy="641985"/>
                <wp:effectExtent l="0" t="0" r="0" b="0"/>
                <wp:wrapSquare wrapText="bothSides"/>
                <wp:docPr id="28" name="Врезка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4560" cy="64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7"/>
                              <w:spacing w:lineRule="auto" w:line="240" w:before="0" w:after="200"/>
                              <w:contextualSpacing/>
                              <w:jc w:val="center"/>
                              <w:rPr/>
                            </w:pPr>
                            <w:r>
                              <w:rPr>
                                <w:color w:val="00000A"/>
                                <w:sz w:val="18"/>
                                <w:szCs w:val="18"/>
                              </w:rPr>
                              <w:t>2 этап – проверка закупок, по которым процедура определения поставщика (исполнителя, подрядчика) завершена, и контракт заключен либо не заключен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2" fillcolor="white" stroked="t" style="position:absolute;margin-left:-211.45pt;margin-top:1.45pt;width:201.1pt;height:50.45pt">
                <w10:wrap type="square"/>
                <v:fill o:detectmouseclick="t" type="solid" color2="black"/>
                <v:stroke color="black" weight="720" joinstyle="round" endcap="flat"/>
                <v:textbox>
                  <w:txbxContent>
                    <w:p>
                      <w:pPr>
                        <w:pStyle w:val="Style27"/>
                        <w:spacing w:lineRule="auto" w:line="240" w:before="0" w:after="200"/>
                        <w:contextualSpacing/>
                        <w:jc w:val="center"/>
                        <w:rPr/>
                      </w:pPr>
                      <w:r>
                        <w:rPr>
                          <w:color w:val="00000A"/>
                          <w:sz w:val="18"/>
                          <w:szCs w:val="18"/>
                        </w:rPr>
                        <w:t>2 этап – проверка закупок, по которым процедура определения поставщика (исполнителя, подрядчика) завершена, и контракт заключен либо не заключен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mc:AlternateContent>
          <mc:Choice Requires="wps">
            <w:drawing>
              <wp:anchor behindDoc="0" distT="0" distB="0" distL="0" distR="0" simplePos="0" locked="0" layoutInCell="1" allowOverlap="1" relativeHeight="20">
                <wp:simplePos x="0" y="0"/>
                <wp:positionH relativeFrom="column">
                  <wp:posOffset>4033520</wp:posOffset>
                </wp:positionH>
                <wp:positionV relativeFrom="paragraph">
                  <wp:posOffset>12700</wp:posOffset>
                </wp:positionV>
                <wp:extent cx="189230" cy="205740"/>
                <wp:effectExtent l="0" t="0" r="0" b="0"/>
                <wp:wrapNone/>
                <wp:docPr id="30" name="Фигур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640" cy="2052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92" h="318">
                              <a:moveTo>
                                <a:pt x="72" y="0"/>
                              </a:moveTo>
                              <a:lnTo>
                                <a:pt x="72" y="237"/>
                              </a:lnTo>
                              <a:lnTo>
                                <a:pt x="0" y="237"/>
                              </a:lnTo>
                              <a:lnTo>
                                <a:pt x="145" y="317"/>
                              </a:lnTo>
                              <a:lnTo>
                                <a:pt x="291" y="237"/>
                              </a:lnTo>
                              <a:lnTo>
                                <a:pt x="218" y="237"/>
                              </a:lnTo>
                              <a:lnTo>
                                <a:pt x="218" y="0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solidFill>
                            <a:srgbClr val="3465a4"/>
                          </a:solidFill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mc:AlternateContent>
          <mc:Choice Requires="wps">
            <w:drawing>
              <wp:anchor behindDoc="0" distT="0" distB="0" distL="114300" distR="114300" simplePos="0" locked="0" layoutInCell="1" allowOverlap="1" relativeHeight="13">
                <wp:simplePos x="0" y="0"/>
                <wp:positionH relativeFrom="column">
                  <wp:posOffset>2988310</wp:posOffset>
                </wp:positionH>
                <wp:positionV relativeFrom="paragraph">
                  <wp:posOffset>48260</wp:posOffset>
                </wp:positionV>
                <wp:extent cx="4784090" cy="789940"/>
                <wp:effectExtent l="0" t="0" r="0" b="0"/>
                <wp:wrapSquare wrapText="bothSides"/>
                <wp:docPr id="31" name="Врезка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3320" cy="789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7"/>
                              <w:spacing w:lineRule="auto" w:line="240" w:before="0" w:after="200"/>
                              <w:contextualSpacing/>
                              <w:jc w:val="center"/>
                              <w:rPr>
                                <w:color w:val="00000A"/>
                              </w:rPr>
                            </w:pPr>
                            <w:r>
                              <w:rPr>
                                <w:color w:val="00000A"/>
                                <w:sz w:val="18"/>
                                <w:szCs w:val="18"/>
                              </w:rPr>
                              <w:t>- составляется Акт проверки с указанием выявленных нарушений законодательства в сфере закупок (при наличии);</w:t>
                            </w:r>
                          </w:p>
                          <w:p>
                            <w:pPr>
                              <w:pStyle w:val="Style27"/>
                              <w:spacing w:lineRule="auto" w:line="240" w:before="0" w:after="200"/>
                              <w:contextualSpacing/>
                              <w:jc w:val="center"/>
                              <w:rPr/>
                            </w:pPr>
                            <w:r>
                              <w:rPr>
                                <w:color w:val="00000A"/>
                                <w:sz w:val="18"/>
                                <w:szCs w:val="18"/>
                              </w:rPr>
                              <w:t>- выдается Предписание, в случае выявления признаков административного правонарушения принимается решение о передаче материалов проверки в Комитет по контролю в сфере закупок Тюменской области;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4" fillcolor="white" stroked="t" style="position:absolute;margin-left:235.3pt;margin-top:3.8pt;width:376.6pt;height:62.1pt">
                <w10:wrap type="square"/>
                <v:fill o:detectmouseclick="t" type="solid" color2="black"/>
                <v:stroke color="black" weight="720" joinstyle="round" endcap="flat"/>
                <v:textbox>
                  <w:txbxContent>
                    <w:p>
                      <w:pPr>
                        <w:pStyle w:val="Style27"/>
                        <w:spacing w:lineRule="auto" w:line="240" w:before="0" w:after="200"/>
                        <w:contextualSpacing/>
                        <w:jc w:val="center"/>
                        <w:rPr>
                          <w:color w:val="00000A"/>
                        </w:rPr>
                      </w:pPr>
                      <w:r>
                        <w:rPr>
                          <w:color w:val="00000A"/>
                          <w:sz w:val="18"/>
                          <w:szCs w:val="18"/>
                        </w:rPr>
                        <w:t>- составляется Акт проверки с указанием выявленных нарушений законодательства в сфере закупок (при наличии);</w:t>
                      </w:r>
                    </w:p>
                    <w:p>
                      <w:pPr>
                        <w:pStyle w:val="Style27"/>
                        <w:spacing w:lineRule="auto" w:line="240" w:before="0" w:after="200"/>
                        <w:contextualSpacing/>
                        <w:jc w:val="center"/>
                        <w:rPr/>
                      </w:pPr>
                      <w:r>
                        <w:rPr>
                          <w:color w:val="00000A"/>
                          <w:sz w:val="18"/>
                          <w:szCs w:val="18"/>
                        </w:rPr>
                        <w:t>- выдается Предписание, в случае выявления признаков административного правонарушения принимается решение о передаче материалов проверки в Комитет по контролю в сфере закупок Тюменской области;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mc:AlternateContent>
          <mc:Choice Requires="wps">
            <w:drawing>
              <wp:anchor behindDoc="0" distT="0" distB="0" distL="0" distR="0" simplePos="0" locked="0" layoutInCell="1" allowOverlap="1" relativeHeight="24">
                <wp:simplePos x="0" y="0"/>
                <wp:positionH relativeFrom="column">
                  <wp:posOffset>5414645</wp:posOffset>
                </wp:positionH>
                <wp:positionV relativeFrom="paragraph">
                  <wp:posOffset>29845</wp:posOffset>
                </wp:positionV>
                <wp:extent cx="189230" cy="205740"/>
                <wp:effectExtent l="0" t="0" r="0" b="0"/>
                <wp:wrapNone/>
                <wp:docPr id="33" name="Фигур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640" cy="2052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92" h="318">
                              <a:moveTo>
                                <a:pt x="72" y="0"/>
                              </a:moveTo>
                              <a:lnTo>
                                <a:pt x="72" y="237"/>
                              </a:lnTo>
                              <a:lnTo>
                                <a:pt x="0" y="237"/>
                              </a:lnTo>
                              <a:lnTo>
                                <a:pt x="145" y="317"/>
                              </a:lnTo>
                              <a:lnTo>
                                <a:pt x="291" y="237"/>
                              </a:lnTo>
                              <a:lnTo>
                                <a:pt x="218" y="237"/>
                              </a:lnTo>
                              <a:lnTo>
                                <a:pt x="218" y="0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solidFill>
                            <a:srgbClr val="3465a4"/>
                          </a:solidFill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mc:AlternateContent>
          <mc:Choice Requires="wps">
            <w:drawing>
              <wp:anchor behindDoc="0" distT="0" distB="0" distL="114300" distR="114300" simplePos="0" locked="0" layoutInCell="1" allowOverlap="1" relativeHeight="15">
                <wp:simplePos x="0" y="0"/>
                <wp:positionH relativeFrom="column">
                  <wp:posOffset>2969260</wp:posOffset>
                </wp:positionH>
                <wp:positionV relativeFrom="paragraph">
                  <wp:posOffset>88265</wp:posOffset>
                </wp:positionV>
                <wp:extent cx="4774565" cy="195580"/>
                <wp:effectExtent l="0" t="0" r="0" b="0"/>
                <wp:wrapSquare wrapText="bothSides"/>
                <wp:docPr id="34" name="Врезка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3960" cy="195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7"/>
                              <w:spacing w:lineRule="auto" w:line="240" w:before="0" w:after="200"/>
                              <w:contextualSpacing/>
                              <w:jc w:val="center"/>
                              <w:rPr>
                                <w:color w:val="00000A"/>
                              </w:rPr>
                            </w:pPr>
                            <w:r>
                              <w:rPr>
                                <w:color w:val="00000A"/>
                                <w:sz w:val="18"/>
                                <w:szCs w:val="18"/>
                              </w:rPr>
                              <w:t>Направление субъекту контроля Акта проверки, Предписания</w:t>
                            </w:r>
                          </w:p>
                          <w:p>
                            <w:pPr>
                              <w:pStyle w:val="Style27"/>
                              <w:spacing w:before="0" w:after="20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7" fillcolor="white" stroked="t" style="position:absolute;margin-left:233.8pt;margin-top:6.95pt;width:375.85pt;height:15.3pt">
                <w10:wrap type="square"/>
                <v:fill o:detectmouseclick="t" type="solid" color2="black"/>
                <v:stroke color="black" weight="720" joinstyle="round" endcap="flat"/>
                <v:textbox>
                  <w:txbxContent>
                    <w:p>
                      <w:pPr>
                        <w:pStyle w:val="Style27"/>
                        <w:spacing w:lineRule="auto" w:line="240" w:before="0" w:after="200"/>
                        <w:contextualSpacing/>
                        <w:jc w:val="center"/>
                        <w:rPr>
                          <w:color w:val="00000A"/>
                        </w:rPr>
                      </w:pPr>
                      <w:r>
                        <w:rPr>
                          <w:color w:val="00000A"/>
                          <w:sz w:val="18"/>
                          <w:szCs w:val="18"/>
                        </w:rPr>
                        <w:t>Направление субъекту контроля Акта проверки, Предписания</w:t>
                      </w:r>
                    </w:p>
                    <w:p>
                      <w:pPr>
                        <w:pStyle w:val="Style27"/>
                        <w:spacing w:before="0" w:after="20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mc:AlternateContent>
          <mc:Choice Requires="wps">
            <w:drawing>
              <wp:anchor behindDoc="0" distT="0" distB="0" distL="0" distR="0" simplePos="0" locked="0" layoutInCell="1" allowOverlap="1" relativeHeight="25">
                <wp:simplePos x="0" y="0"/>
                <wp:positionH relativeFrom="column">
                  <wp:posOffset>5436235</wp:posOffset>
                </wp:positionH>
                <wp:positionV relativeFrom="paragraph">
                  <wp:posOffset>118110</wp:posOffset>
                </wp:positionV>
                <wp:extent cx="189230" cy="205740"/>
                <wp:effectExtent l="0" t="0" r="0" b="0"/>
                <wp:wrapNone/>
                <wp:docPr id="36" name="Фигур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640" cy="2052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92" h="318">
                              <a:moveTo>
                                <a:pt x="72" y="0"/>
                              </a:moveTo>
                              <a:lnTo>
                                <a:pt x="72" y="237"/>
                              </a:lnTo>
                              <a:lnTo>
                                <a:pt x="0" y="237"/>
                              </a:lnTo>
                              <a:lnTo>
                                <a:pt x="145" y="317"/>
                              </a:lnTo>
                              <a:lnTo>
                                <a:pt x="291" y="237"/>
                              </a:lnTo>
                              <a:lnTo>
                                <a:pt x="218" y="237"/>
                              </a:lnTo>
                              <a:lnTo>
                                <a:pt x="218" y="0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solidFill>
                            <a:srgbClr val="3465a4"/>
                          </a:solidFill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mc:AlternateContent>
          <mc:Choice Requires="wps">
            <w:drawing>
              <wp:anchor behindDoc="0" distT="0" distB="0" distL="114300" distR="114300" simplePos="0" locked="0" layoutInCell="1" allowOverlap="1" relativeHeight="14">
                <wp:simplePos x="0" y="0"/>
                <wp:positionH relativeFrom="column">
                  <wp:posOffset>2950210</wp:posOffset>
                </wp:positionH>
                <wp:positionV relativeFrom="paragraph">
                  <wp:posOffset>147320</wp:posOffset>
                </wp:positionV>
                <wp:extent cx="4784090" cy="567690"/>
                <wp:effectExtent l="0" t="0" r="0" b="0"/>
                <wp:wrapSquare wrapText="bothSides"/>
                <wp:docPr id="37" name="Врезка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3320" cy="56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7"/>
                              <w:spacing w:before="0" w:after="200"/>
                              <w:rPr/>
                            </w:pPr>
                            <w:r>
                              <w:rPr>
                                <w:color w:val="00000A"/>
                                <w:sz w:val="18"/>
                                <w:szCs w:val="18"/>
                              </w:rPr>
                              <w:t>Размещение информации о результатах проверок (Решение, Акт проверки, Предписание) в единой информационной системе в сфере закупок в Реестре жалоб, плановых и внеплановых проверок, принятых по ним решений и выданных предписаний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6" fillcolor="white" stroked="t" style="position:absolute;margin-left:232.3pt;margin-top:11.6pt;width:376.6pt;height:44.6pt">
                <w10:wrap type="square"/>
                <v:fill o:detectmouseclick="t" type="solid" color2="black"/>
                <v:stroke color="black" weight="720" joinstyle="round" endcap="flat"/>
                <v:textbox>
                  <w:txbxContent>
                    <w:p>
                      <w:pPr>
                        <w:pStyle w:val="Style27"/>
                        <w:spacing w:before="0" w:after="200"/>
                        <w:rPr/>
                      </w:pPr>
                      <w:r>
                        <w:rPr>
                          <w:color w:val="00000A"/>
                          <w:sz w:val="18"/>
                          <w:szCs w:val="18"/>
                        </w:rPr>
                        <w:t>Размещение информации о результатах проверок (Решение, Акт проверки, Предписание) в единой информационной системе в сфере закупок в Реестре жалоб, плановых и внеплановых проверок, принятых по ним решений и выданных предписаний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mc:AlternateContent>
          <mc:Choice Requires="wps">
            <w:drawing>
              <wp:anchor behindDoc="0" distT="0" distB="0" distL="0" distR="0" simplePos="0" locked="0" layoutInCell="1" allowOverlap="1" relativeHeight="26">
                <wp:simplePos x="0" y="0"/>
                <wp:positionH relativeFrom="column">
                  <wp:posOffset>5464810</wp:posOffset>
                </wp:positionH>
                <wp:positionV relativeFrom="paragraph">
                  <wp:posOffset>67310</wp:posOffset>
                </wp:positionV>
                <wp:extent cx="189230" cy="205740"/>
                <wp:effectExtent l="0" t="0" r="0" b="0"/>
                <wp:wrapNone/>
                <wp:docPr id="39" name="Фигур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640" cy="2052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92" h="318">
                              <a:moveTo>
                                <a:pt x="72" y="0"/>
                              </a:moveTo>
                              <a:lnTo>
                                <a:pt x="72" y="237"/>
                              </a:lnTo>
                              <a:lnTo>
                                <a:pt x="0" y="237"/>
                              </a:lnTo>
                              <a:lnTo>
                                <a:pt x="145" y="317"/>
                              </a:lnTo>
                              <a:lnTo>
                                <a:pt x="291" y="237"/>
                              </a:lnTo>
                              <a:lnTo>
                                <a:pt x="218" y="237"/>
                              </a:lnTo>
                              <a:lnTo>
                                <a:pt x="218" y="0"/>
                              </a:lnTo>
                              <a:lnTo>
                                <a:pt x="72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solidFill>
                            <a:srgbClr val="3465a4"/>
                          </a:solidFill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mc:AlternateContent>
          <mc:Choice Requires="wps">
            <w:drawing>
              <wp:anchor behindDoc="0" distT="0" distB="0" distL="114300" distR="114300" simplePos="0" locked="0" layoutInCell="1" allowOverlap="1" relativeHeight="16">
                <wp:simplePos x="0" y="0"/>
                <wp:positionH relativeFrom="column">
                  <wp:posOffset>2969260</wp:posOffset>
                </wp:positionH>
                <wp:positionV relativeFrom="paragraph">
                  <wp:posOffset>89535</wp:posOffset>
                </wp:positionV>
                <wp:extent cx="4774565" cy="263525"/>
                <wp:effectExtent l="0" t="0" r="0" b="0"/>
                <wp:wrapSquare wrapText="bothSides"/>
                <wp:docPr id="40" name="Врезка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3960" cy="26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7"/>
                              <w:spacing w:lineRule="auto" w:line="240" w:before="0" w:after="200"/>
                              <w:contextualSpacing/>
                              <w:jc w:val="center"/>
                              <w:rPr/>
                            </w:pPr>
                            <w:r>
                              <w:rPr>
                                <w:color w:val="00000A"/>
                                <w:sz w:val="18"/>
                                <w:szCs w:val="18"/>
                              </w:rPr>
                              <w:t>Контроль за выполнением Предписания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8" fillcolor="white" stroked="t" style="position:absolute;margin-left:233.8pt;margin-top:7.05pt;width:375.85pt;height:20.65pt">
                <w10:wrap type="square"/>
                <v:fill o:detectmouseclick="t" type="solid" color2="black"/>
                <v:stroke color="black" weight="720" joinstyle="round" endcap="flat"/>
                <v:textbox>
                  <w:txbxContent>
                    <w:p>
                      <w:pPr>
                        <w:pStyle w:val="Style27"/>
                        <w:spacing w:lineRule="auto" w:line="240" w:before="0" w:after="200"/>
                        <w:contextualSpacing/>
                        <w:jc w:val="center"/>
                        <w:rPr/>
                      </w:pPr>
                      <w:r>
                        <w:rPr>
                          <w:color w:val="00000A"/>
                          <w:sz w:val="18"/>
                          <w:szCs w:val="18"/>
                        </w:rPr>
                        <w:t>Контроль за выполнением Предписания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widowControl w:val="false"/>
        <w:spacing w:lineRule="auto" w:line="240" w:before="0" w:after="0"/>
        <w:jc w:val="center"/>
        <w:rPr/>
      </w:pPr>
      <w:r>
        <w:rPr/>
      </w:r>
    </w:p>
    <w:p>
      <w:pPr>
        <w:sectPr>
          <w:type w:val="continuous"/>
          <w:pgSz w:orient="landscape" w:w="16838" w:h="11906"/>
          <w:pgMar w:left="709" w:right="851" w:header="0" w:top="426" w:footer="0" w:bottom="426" w:gutter="0"/>
          <w:formProt w:val="false"/>
          <w:textDirection w:val="lrTb"/>
          <w:docGrid w:type="default" w:linePitch="312" w:charSpace="4294965247"/>
        </w:sectPr>
      </w:pPr>
    </w:p>
    <w:sectPr>
      <w:type w:val="continuous"/>
      <w:pgSz w:orient="landscape" w:w="16838" w:h="11906"/>
      <w:pgMar w:left="709" w:right="851" w:header="0" w:top="426" w:footer="0" w:bottom="426" w:gutter="0"/>
      <w:pgNumType w:fmt="decimal"/>
      <w:formProt w:val="false"/>
      <w:textDirection w:val="lrTb"/>
      <w:docGrid w:type="default" w:linePitch="312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altName w:val="sans-serif"/>
    <w:charset w:val="cc"/>
    <w:family w:val="roman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c409a"/>
    <w:pPr>
      <w:widowControl/>
      <w:bidi w:val="0"/>
      <w:spacing w:lineRule="auto" w:line="276" w:before="0" w:after="200"/>
      <w:jc w:val="left"/>
    </w:pPr>
    <w:rPr>
      <w:rFonts w:ascii="Calibri" w:hAnsi="Calibri" w:eastAsia="Calibri" w:cs="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590dee"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uiPriority w:val="99"/>
    <w:semiHidden/>
    <w:qFormat/>
    <w:rsid w:val="007f359f"/>
    <w:rPr/>
  </w:style>
  <w:style w:type="character" w:styleId="Style16" w:customStyle="1">
    <w:name w:val="Нижний колонтитул Знак"/>
    <w:basedOn w:val="DefaultParagraphFont"/>
    <w:uiPriority w:val="99"/>
    <w:semiHidden/>
    <w:qFormat/>
    <w:rsid w:val="007f359f"/>
    <w:rPr/>
  </w:style>
  <w:style w:type="character" w:styleId="Style17" w:customStyle="1">
    <w:name w:val="Интернет-ссылка"/>
    <w:rsid w:val="00127a43"/>
    <w:rPr>
      <w:color w:val="000080"/>
      <w:u w:val="single"/>
    </w:rPr>
  </w:style>
  <w:style w:type="character" w:styleId="Style18" w:customStyle="1">
    <w:name w:val="Выделение жирным"/>
    <w:qFormat/>
    <w:rsid w:val="00127a43"/>
    <w:rPr>
      <w:b/>
      <w:bCs/>
    </w:rPr>
  </w:style>
  <w:style w:type="character" w:styleId="Style19" w:customStyle="1">
    <w:name w:val="Маркеры списка"/>
    <w:qFormat/>
    <w:rsid w:val="00127a43"/>
    <w:rPr>
      <w:rFonts w:ascii="OpenSymbol" w:hAnsi="OpenSymbol" w:eastAsia="OpenSymbol" w:cs="OpenSymbol"/>
    </w:rPr>
  </w:style>
  <w:style w:type="paragraph" w:styleId="Style20" w:customStyle="1">
    <w:name w:val="Заголовок"/>
    <w:basedOn w:val="Normal"/>
    <w:next w:val="Style21"/>
    <w:qFormat/>
    <w:rsid w:val="00127a43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1">
    <w:name w:val="Body Text"/>
    <w:basedOn w:val="Normal"/>
    <w:rsid w:val="00127a43"/>
    <w:pPr>
      <w:spacing w:lineRule="auto" w:line="288" w:before="0" w:after="0"/>
      <w:jc w:val="both"/>
    </w:pPr>
    <w:rPr>
      <w:rFonts w:ascii="Arial;sans-serif" w:hAnsi="Arial;sans-serif"/>
      <w:sz w:val="18"/>
    </w:rPr>
  </w:style>
  <w:style w:type="paragraph" w:styleId="Style22">
    <w:name w:val="List"/>
    <w:basedOn w:val="Style21"/>
    <w:rsid w:val="00127a43"/>
    <w:pPr/>
    <w:rPr>
      <w:rFonts w:cs="Mangal"/>
    </w:rPr>
  </w:style>
  <w:style w:type="paragraph" w:styleId="Style23" w:customStyle="1">
    <w:name w:val="Caption"/>
    <w:basedOn w:val="Normal"/>
    <w:qFormat/>
    <w:rsid w:val="00127a4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Indexheading">
    <w:name w:val="index heading"/>
    <w:basedOn w:val="Normal"/>
    <w:qFormat/>
    <w:rsid w:val="00127a43"/>
    <w:pPr>
      <w:suppressLineNumbers/>
    </w:pPr>
    <w:rPr>
      <w:rFonts w:cs="Mangal"/>
    </w:rPr>
  </w:style>
  <w:style w:type="paragraph" w:styleId="ConsPlusNonformat" w:customStyle="1">
    <w:name w:val="ConsPlusNonformat"/>
    <w:uiPriority w:val="99"/>
    <w:qFormat/>
    <w:rsid w:val="00ba2a13"/>
    <w:pPr>
      <w:widowControl w:val="false"/>
      <w:bidi w:val="0"/>
      <w:spacing w:lineRule="auto" w:line="240"/>
      <w:jc w:val="left"/>
    </w:pPr>
    <w:rPr>
      <w:rFonts w:ascii="Courier New" w:hAnsi="Courier New" w:eastAsia="" w:cs="Courier New" w:eastAsiaTheme="minorEastAsia"/>
      <w:color w:val="00000A"/>
      <w:sz w:val="22"/>
      <w:szCs w:val="20"/>
      <w:lang w:val="ru-RU" w:eastAsia="ru-RU" w:bidi="ar-SA"/>
    </w:rPr>
  </w:style>
  <w:style w:type="paragraph" w:styleId="NoSpacing">
    <w:name w:val="No Spacing"/>
    <w:basedOn w:val="Normal"/>
    <w:uiPriority w:val="1"/>
    <w:qFormat/>
    <w:rsid w:val="00590dee"/>
    <w:pPr>
      <w:spacing w:lineRule="auto" w:line="240" w:before="0" w:after="0"/>
      <w:ind w:firstLine="709"/>
      <w:jc w:val="both"/>
    </w:pPr>
    <w:rPr>
      <w:rFonts w:ascii="Arial" w:hAnsi="Arial" w:eastAsia="Times New Roman" w:cs="Times New Roman"/>
      <w:sz w:val="26"/>
      <w:szCs w:val="32"/>
      <w:lang w:val="en-US" w:bidi="en-US"/>
    </w:rPr>
  </w:style>
  <w:style w:type="paragraph" w:styleId="Consplusnormal" w:customStyle="1">
    <w:name w:val="consplusnormal"/>
    <w:basedOn w:val="Normal"/>
    <w:qFormat/>
    <w:rsid w:val="00590dee"/>
    <w:pPr>
      <w:spacing w:lineRule="auto" w:line="240" w:before="0" w:after="0"/>
      <w:jc w:val="both"/>
    </w:pPr>
    <w:rPr>
      <w:rFonts w:ascii="Tahoma" w:hAnsi="Tahoma" w:eastAsia="Times New Roman" w:cs="Tahoma"/>
      <w:color w:val="252525"/>
      <w:sz w:val="24"/>
      <w:szCs w:val="24"/>
      <w:lang w:eastAsia="ru-RU"/>
    </w:rPr>
  </w:style>
  <w:style w:type="paragraph" w:styleId="BalloonText">
    <w:name w:val="Balloon Text"/>
    <w:basedOn w:val="Normal"/>
    <w:uiPriority w:val="99"/>
    <w:semiHidden/>
    <w:unhideWhenUsed/>
    <w:qFormat/>
    <w:rsid w:val="00590de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512db"/>
    <w:pPr>
      <w:spacing w:before="0" w:after="200"/>
      <w:ind w:left="720" w:hanging="0"/>
      <w:contextualSpacing/>
    </w:pPr>
    <w:rPr/>
  </w:style>
  <w:style w:type="paragraph" w:styleId="Style25" w:customStyle="1">
    <w:name w:val="Header"/>
    <w:basedOn w:val="Normal"/>
    <w:uiPriority w:val="99"/>
    <w:semiHidden/>
    <w:unhideWhenUsed/>
    <w:rsid w:val="007f359f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6" w:customStyle="1">
    <w:name w:val="Footer"/>
    <w:basedOn w:val="Normal"/>
    <w:uiPriority w:val="99"/>
    <w:semiHidden/>
    <w:unhideWhenUsed/>
    <w:rsid w:val="007f359f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7" w:customStyle="1">
    <w:name w:val="Содержимое врезки"/>
    <w:basedOn w:val="Normal"/>
    <w:qFormat/>
    <w:rsid w:val="00127a43"/>
    <w:pPr/>
    <w:rPr/>
  </w:style>
  <w:style w:type="paragraph" w:styleId="ConsPlusNormal1" w:customStyle="1">
    <w:name w:val="ConsPlusNormal"/>
    <w:qFormat/>
    <w:rsid w:val="00127a43"/>
    <w:pPr>
      <w:widowControl w:val="false"/>
      <w:bidi w:val="0"/>
      <w:spacing w:lineRule="auto" w:line="240"/>
      <w:jc w:val="left"/>
    </w:pPr>
    <w:rPr>
      <w:rFonts w:ascii="Calibri" w:hAnsi="Calibri" w:eastAsia="Times New Roman" w:cs="Calibri"/>
      <w:color w:val="00000A"/>
      <w:sz w:val="22"/>
      <w:szCs w:val="20"/>
      <w:lang w:val="ru-RU" w:eastAsia="ru-RU" w:bidi="ar-SA"/>
    </w:rPr>
  </w:style>
  <w:style w:type="paragraph" w:styleId="Style28" w:customStyle="1">
    <w:name w:val="Содержимое таблицы"/>
    <w:basedOn w:val="Normal"/>
    <w:qFormat/>
    <w:rsid w:val="00127a43"/>
    <w:pPr/>
    <w:rPr/>
  </w:style>
  <w:style w:type="paragraph" w:styleId="Style29" w:customStyle="1">
    <w:name w:val="Заголовок таблицы"/>
    <w:basedOn w:val="Style28"/>
    <w:qFormat/>
    <w:rsid w:val="00127a43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uiPriority w:val="59"/>
    <w:rsid w:val="00264b32"/>
    <w:pPr>
      <w:spacing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consultantplus://offline/ref=709D7B8845BCD4DD3C413AC56AC94DCCB9693FC6599024E26DDAEFDF6FX1F5J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89E227-2C21-49E3-B8E4-85BAC340E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1651</TotalTime>
  <Application>LibreOffice/5.1.2.2$Windows_X86_64 LibreOffice_project/d3bf12ecb743fc0d20e0be0c58ca359301eb705f</Application>
  <Pages>15</Pages>
  <Words>4012</Words>
  <CharactersWithSpaces>29154</CharactersWithSpaces>
  <Paragraphs>225</Paragraphs>
  <Company>Uvat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2014-01-22T09:05:00Z</dcterms:created>
  <dc:creator>User</dc:creator>
  <dc:description/>
  <dc:language>ru-RU</dc:language>
  <cp:lastModifiedBy/>
  <cp:lastPrinted>2016-05-26T09:30:44Z</cp:lastPrinted>
  <dcterms:modified xsi:type="dcterms:W3CDTF">2016-05-30T09:15:10Z</dcterms:modified>
  <cp:revision>61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Uvat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